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 und Verfahrensstand</w:t>
      </w:r>
    </w:p>
    <w:p>
      <w:pPr/>
      <w:r>
        <w:t>Mara Wendel befindet sich als erwachsene Frau im Vollzug einer rechtskräftigen Freiheitsstrafe. Sie benutzt einen von der Anstalt zugelassenen Rollator. Die vorliegende Akte betrifft die Nutzbarkeit der Unterkunft und die organisatorische Ermöglichung des Aufenthalts im Freien. Sie enthält keine Diagnose und keinen Auftrag zur medizinischen Therapieentscheidung.</w:t>
      </w:r>
    </w:p>
    <w:p>
      <w:pPr/>
      <w:r>
        <w:t>Frau Wendel lebt seit dem 11.09.2026 mit einer Mitgefangenen im Haftraum 2.14. Sie schildert Schwierigkeiten beim Drehen des Rollators zwischen Bett und Tisch und beim Erreichen der Toilette. Außerdem beanstandet sie fehlenden Sichtschutz. Die JVA verweist auf einen geeigneteren Raum, der vorerst anderweitig belegt sei, und auf die Möglichkeit, Unterstützung anzufordern.</w:t>
      </w:r>
    </w:p>
    <w:p>
      <w:pPr/>
      <w:r>
        <w:t>Der Bescheid wurde am 05.10.2026 ausgehändigt. Am Stichtag 16.10.2026 liegen ein Begehungsvermerk und eine ergänzende Auskunft zum Hofzugang vor. Ein ausformulierter gerichtlicher Antrag ist vorbereitet, aber nicht eingereicht. Die Bearbeitung soll Funktionsangaben, Beobachtungen, bestrittene Punkte und tatsächliche Abhilfemöglichkeiten auseinanderhalten.</w:t>
      </w:r>
    </w:p>
    <w:p>
      <w:pPr/>
      <w:r>
        <w:t>Ansprechperson der Anstalt: Beate Morgenroth, Leiterin der Vollzugsabteilung, Quellengrund 28, 45329 Essen. Anwaltliche Korrespondenz: Rechtsanwalt Till Severin, Lerchenufer 7, 45127 Essen, t.severin@kanzlei-severin.example.</w:t>
      </w:r>
    </w:p>
    <w:p>
      <w:pPr/>
      <w:r>
        <w:t>Der Arbeitsauftrag umfasst eine belegte Chronologie, die Abgrenzung der einzelnen Antragsgegenstände und die Prüfung des vorhandenen gerichtlichen Entwurfs. Fehlende Unterlagen sollen konkret angefordert werden. Ein Versand, eine Einreichung oder die Zusage einer Vollzugsmaßnahme ist nicht beauftragt.</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und Verfahrensstand</dc:title>
  <dc:subject/>
  <dc:creator>Rechtsanwalt Till Severin</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