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Erbvertrag</w:t>
      </w:r>
    </w:p>
    <w:p>
      <w:pPr>
        <w:jc w:val="left"/>
      </w:pPr>
      <w:r>
        <w:t>Urkundenrolle Nr. 812/2008</w:t>
      </w:r>
    </w:p>
    <w:p>
      <w:pPr>
        <w:jc w:val="left"/>
      </w:pPr>
      <w:r>
        <w:t>Verhandelt zu Oldenburg am 12.06.2008. Vor mir, dem unterzeichnenden Notar Dr. Gerrit Bramlage mit dem Amtssitz in Oldenburg, erschienen heute:</w:t>
      </w:r>
    </w:p>
    <w:p>
      <w:pPr>
        <w:pStyle w:val="ListNumber"/>
      </w:pPr>
      <w:r>
        <w:t>Herr Heinrich Terborg, Landwirt, geboren am 14.03.1941, und</w:t>
      </w:r>
    </w:p>
    <w:p>
      <w:pPr>
        <w:pStyle w:val="ListNumber"/>
      </w:pPr>
      <w:r>
        <w:t>Frau Marlene Terborg geborene Osterloh, geboren am 02.11.1943,</w:t>
      </w:r>
    </w:p>
    <w:p>
      <w:pPr>
        <w:jc w:val="left"/>
      </w:pPr>
      <w:r>
        <w:t>beide wohnhaft Achtermannsweg 3, 26203 Wardenburg, miteinander in einziger Ehe verheiratet, ausgewiesen durch gültige Bundespersonalausweise. Die Erschienenen erklärten, einen Erbvertrag schließen zu wollen, und baten um Beurkundung des Folgenden. Der Notar überzeugte sich durch das geführte Gespräch von der unbeschränkten Geschäftsfähigkeit beider Erschienenen. Diese Urkunde gibt den Erbvertrag vollständig wieder.</w:t>
      </w:r>
    </w:p>
    <w:p>
      <w:pPr>
        <w:pStyle w:val="Heading2"/>
      </w:pPr>
      <w:r>
        <w:rPr>
          <w:rFonts w:ascii="Times New Roman" w:hAnsi="Times New Roman"/>
        </w:rPr>
        <w:t>1 Vorbemerkung und Familienverhältnisse</w:t>
      </w:r>
    </w:p>
    <w:p>
      <w:pPr>
        <w:jc w:val="left"/>
      </w:pPr>
      <w:r>
        <w:t>1.1 Wir sind seit dem 24.09.1965 miteinander verheiratet und leben im gesetzlichen Güterstand der Zugewinngemeinschaft. Frühere letztwillige Verfügungen haben wir nicht errichtet; vorsorglich heben wir alle etwa vorhandenen früheren Verfügungen von Todes wegen hiermit auf.</w:t>
      </w:r>
    </w:p>
    <w:p>
      <w:pPr>
        <w:jc w:val="left"/>
      </w:pPr>
      <w:r>
        <w:t>1.2 Aus unserer Ehe sind zwei Kinder hervorgegangen: unser Sohn Jens Terborg, geboren am 21.05.1968, und unsere Tochter Silke Terborg, geboren am 09.09.1971. Weitere Abkömmlinge sind nicht vorhanden.</w:t>
      </w:r>
    </w:p>
    <w:p>
      <w:pPr>
        <w:jc w:val="left"/>
      </w:pPr>
      <w:r>
        <w:t>1.3 Wesentlicher Bestandteil unseres Vermögens ist die Hofstelle in Wardenburg (Grundbuch von Wardenburg Blatt 2144) nebst landwirtschaftlichen Flächen; die aktive Bewirtschaftung haben wir aufgegeben, die Flächen sind verpachtet.</w:t>
      </w:r>
    </w:p>
    <w:p>
      <w:pPr>
        <w:pStyle w:val="Heading2"/>
      </w:pPr>
      <w:r>
        <w:rPr>
          <w:rFonts w:ascii="Times New Roman" w:hAnsi="Times New Roman"/>
        </w:rPr>
        <w:t>2 Gegenseitige Erbeinsetzung</w:t>
      </w:r>
    </w:p>
    <w:p>
      <w:pPr>
        <w:jc w:val="left"/>
      </w:pPr>
      <w:r>
        <w:t>2.1 Wir setzen uns hiermit gegenseitig, der Erstversterbende den Überlebenden, zum alleinigen und unbeschränkten Erben ein.</w:t>
      </w:r>
    </w:p>
    <w:p>
      <w:pPr>
        <w:jc w:val="left"/>
      </w:pPr>
      <w:r>
        <w:t>2.2 Diese gegenseitige Erbeinsetzung erfolgt vertragsmäßig im Sinne des Paragrafen 2278 BGB.</w:t>
      </w:r>
    </w:p>
    <w:p>
      <w:pPr>
        <w:pStyle w:val="Heading2"/>
      </w:pPr>
      <w:r>
        <w:rPr>
          <w:rFonts w:ascii="Times New Roman" w:hAnsi="Times New Roman"/>
        </w:rPr>
        <w:t>3 Schlusserbeneinsetzung</w:t>
      </w:r>
    </w:p>
    <w:p>
      <w:pPr>
        <w:jc w:val="left"/>
      </w:pPr>
      <w:r>
        <w:t>3.1 Zum alleinigen Erben des Längstlebenden von uns setzen wir unseren Sohn Jens Terborg ein.</w:t>
      </w:r>
    </w:p>
    <w:p>
      <w:pPr>
        <w:jc w:val="left"/>
      </w:pPr>
      <w:r>
        <w:t>3.2 Auch die Schlusserbeneinsetzung erfolgt vertragsmäßig und damit für den Längstlebenden bindend, soweit sich aus Ziffer 6 dieser Urkunde nichts anderes ergibt.</w:t>
      </w:r>
    </w:p>
    <w:p>
      <w:pPr>
        <w:jc w:val="left"/>
      </w:pPr>
      <w:r>
        <w:t>3.3 Sollte unser Sohn vor dem Längstlebenden von uns versterben, treten an seine Stelle seine Abkömmlinge nach den Regeln der gesetzlichen Erbfolge; sind solche nicht vorhanden, ist der Längstlebende in der Verfügung über sein Vermögen frei.</w:t>
      </w:r>
    </w:p>
    <w:p>
      <w:pPr>
        <w:pStyle w:val="Heading2"/>
      </w:pPr>
      <w:r>
        <w:rPr>
          <w:rFonts w:ascii="Times New Roman" w:hAnsi="Times New Roman"/>
        </w:rPr>
        <w:t>4 Vermächtnis zugunsten der Tochter</w:t>
      </w:r>
    </w:p>
    <w:p>
      <w:pPr>
        <w:jc w:val="left"/>
      </w:pPr>
      <w:r>
        <w:t>4.1 Der Längstlebende von uns beschwert seinen Erben mit folgendem Vermächtnis: Unsere Tochter Silke Terborg erhält aus dem Nachlass des Längstlebenden einen Geldbetrag in Höhe von 50.000,00 EUR.</w:t>
      </w:r>
    </w:p>
    <w:p>
      <w:pPr>
        <w:jc w:val="left"/>
      </w:pPr>
      <w:r>
        <w:t>4.2 Das Vermächtnis ist drei Monate nach dem Tod des Längstlebenden fällig und bis dahin nicht zu verzinsen. Es erfolgt ebenfalls vertragsmäßig.</w:t>
      </w:r>
    </w:p>
    <w:p>
      <w:pPr>
        <w:pStyle w:val="Heading2"/>
      </w:pPr>
      <w:r>
        <w:rPr>
          <w:rFonts w:ascii="Times New Roman" w:hAnsi="Times New Roman"/>
        </w:rPr>
        <w:t>5 Pflichtteilsklausel</w:t>
      </w:r>
    </w:p>
    <w:p>
      <w:pPr>
        <w:jc w:val="left"/>
      </w:pPr>
      <w:r>
        <w:t>Verlangt eines unserer Kinder nach dem Tod des Erstversterbenden von dem Überlebenden den Pflichtteil, so entfallen für dieses Kind und seine Abkömmlinge sämtliche Zuwendungen aus dieser Urkunde für den Tod des Längstlebenden; es erhält dann auch nach dem Längstlebenden nur den Pflichtteil.</w:t>
      </w:r>
    </w:p>
    <w:p>
      <w:pPr>
        <w:pStyle w:val="Heading2"/>
      </w:pPr>
      <w:r>
        <w:rPr>
          <w:rFonts w:ascii="Times New Roman" w:hAnsi="Times New Roman"/>
        </w:rPr>
        <w:t>6 Rücktrittsvorbehalt</w:t>
      </w:r>
    </w:p>
    <w:p>
      <w:pPr>
        <w:jc w:val="left"/>
      </w:pPr>
      <w:r>
        <w:t>6.1 Der Längstlebende von uns ist berechtigt, nach dem Tod des Erstversterbenden von der Schlusserbeneinsetzung in Ziffer 3 und von dem Vermächtnis in Ziffer 4 zurückzutreten. Im Übrigen sind Rücktritt und einseitige Aufhebung ausgeschlossen.</w:t>
      </w:r>
    </w:p>
    <w:p>
      <w:pPr>
        <w:jc w:val="left"/>
      </w:pPr>
      <w:r>
        <w:t>6.2 Für die Ausübung des Rücktritts gelten die gesetzlichen Vorschriften der Paragrafen 2293 bis 2297 BGB. Der Rücktritt kann nur zu Lebzeiten des Längstlebenden erklärt werden und bedarf der notariellen Beurkundung.</w:t>
      </w:r>
    </w:p>
    <w:p>
      <w:pPr>
        <w:jc w:val="left"/>
      </w:pPr>
      <w:r>
        <w:t>6.3 Übt der Längstlebende den Rücktritt aus, so ist er in der Verfügung über sein gesamtes Vermögen von Todes wegen wieder frei.</w:t>
      </w:r>
    </w:p>
    <w:p>
      <w:pPr>
        <w:pStyle w:val="Heading2"/>
      </w:pPr>
      <w:r>
        <w:rPr>
          <w:rFonts w:ascii="Times New Roman" w:hAnsi="Times New Roman"/>
        </w:rPr>
        <w:t>7 Schlussbestimmungen und Belehrungen</w:t>
      </w:r>
    </w:p>
    <w:p>
      <w:pPr>
        <w:jc w:val="left"/>
      </w:pPr>
      <w:r>
        <w:t>7.1 Der Notar hat die Erschienenen über die Bindungswirkung vertragsmäßiger Verfügungen, über das Wesen des Rücktrittsvorbehalts sowie darüber belehrt, dass der Erblasser trotz der Bindung zu Verfügungen unter Lebenden berechtigt bleibt und dem Vertragserben bei beeinträchtigenden Schenkungen Ansprüche nach Paragraf 2287 BGB zustehen können.</w:t>
      </w:r>
    </w:p>
    <w:p>
      <w:pPr>
        <w:jc w:val="left"/>
      </w:pPr>
      <w:r>
        <w:t>7.2 Die Kosten dieser Urkunde und ihrer Durchführung tragen die Erschienenen als Gesamtschuldner. Der Notar hat eine beglaubigte Abschrift für jeden Erschienenen sowie die Registrierung im Zentralen Testamentsregister veranlasst.</w:t>
      </w:r>
    </w:p>
    <w:p>
      <w:pPr>
        <w:jc w:val="left"/>
      </w:pPr>
      <w:r>
        <w:t>Diese Niederschrift wurde den Erschienenen vom Notar vorgelesen, von ihnen genehmigt und eigenhändig unterschrieben:</w:t>
      </w:r>
    </w:p>
    <w:p>
      <w:pPr>
        <w:jc w:val="left"/>
      </w:pPr>
      <w:r>
        <w:t>Heinrich Terborg — Marlene Terborg — Dr. Gerrit Bramlage, Notar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