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Landgericht Oldenburg — Urteil vom 12.03.2026 — 5 O 458/25</w:t>
      </w:r>
    </w:p>
    <w:p>
      <w:pPr>
        <w:jc w:val="left"/>
      </w:pPr>
      <w:r>
        <w:t>Im Namen des Volkes</w:t>
      </w:r>
    </w:p>
    <w:p>
      <w:pPr>
        <w:jc w:val="left"/>
      </w:pPr>
      <w:r>
        <w:t>In dem Rechtsstreit des Herrn Jens Terborg, Speicherlinie 14, 26122 Oldenburg, Klägers, Prozessbevollmächtigte: Rechtsanwälte Feldhusen &amp; Coldewey PartG mbB, Oldenburg, gegen Frau Silke Ahrends, Am Fillerkamp 7, 26209 Hatten, Beklagte, Prozessbevollmächtigte: Rechtsanwälte Brünjes &amp; Terveer, Oldenburg, hat die 5. Zivilkammer des Landgerichts Oldenburg durch den Vorsitzenden Richter am Landgericht Dr. Hollmann, die Richterin am Landgericht Peters und den Richter Dr. Schwarting auf die mündliche Verhandlung vom 05.02.2026 für Recht erkannt:</w:t>
      </w:r>
    </w:p>
    <w:p>
      <w:pPr>
        <w:pStyle w:val="Heading2"/>
      </w:pPr>
      <w:r>
        <w:rPr>
          <w:rFonts w:ascii="Times New Roman" w:hAnsi="Times New Roman"/>
        </w:rPr>
        <w:t>1 Tenor</w:t>
      </w:r>
    </w:p>
    <w:p>
      <w:pPr>
        <w:jc w:val="left"/>
      </w:pPr>
      <w:r>
        <w:t>1.1 Die Beklagte wird verurteilt, das im Grundbuch von Hundsmühlen Blatt 901 verzeichnete Grundstück, Gemarkung Hundsmühlen, Flur 2, Flurstück 118/9, groß 812 Quadratmeter, an den Kläger aufzulassen und die Eintragung des Klägers als Eigentümer in das Grundbuch zu bewilligen.</w:t>
      </w:r>
    </w:p>
    <w:p>
      <w:pPr>
        <w:jc w:val="left"/>
      </w:pPr>
      <w:r>
        <w:t>1.2 Die Beklagte wird verurteilt, an den Kläger 152.000,00 EUR nebst Zinsen in Höhe von fünf Prozentpunkten über dem Basiszinssatz seit dem 15.03.2025 zu zahlen.</w:t>
      </w:r>
    </w:p>
    <w:p>
      <w:pPr>
        <w:jc w:val="left"/>
      </w:pPr>
      <w:r>
        <w:t>1.3 Im Übrigen wird die Klage abgewiesen.</w:t>
      </w:r>
    </w:p>
    <w:p>
      <w:pPr>
        <w:jc w:val="left"/>
      </w:pPr>
      <w:r>
        <w:t>1.4 Von den Kosten des Rechtsstreits tragen der Kläger 55 Prozent und die Beklagte 45 Prozent.</w:t>
      </w:r>
    </w:p>
    <w:p>
      <w:pPr>
        <w:jc w:val="left"/>
      </w:pPr>
      <w:r>
        <w:t>1.5 Das Urteil ist gegen Sicherheitsleistung in Höhe von 110 Prozent des jeweils zu vollstreckenden Betrages vorläufig vollstreckbar.</w:t>
      </w:r>
    </w:p>
    <w:p>
      <w:pPr>
        <w:pStyle w:val="Heading2"/>
      </w:pPr>
      <w:r>
        <w:rPr>
          <w:rFonts w:ascii="Times New Roman" w:hAnsi="Times New Roman"/>
        </w:rPr>
        <w:t>2 Tatbestand</w:t>
      </w:r>
    </w:p>
    <w:p>
      <w:pPr>
        <w:jc w:val="left"/>
      </w:pPr>
      <w:r>
        <w:t>2.1 Der Kläger nimmt die Beklagte, seine Schwester, als Vertragserbe seines am 05.09.2024 verstorbenen Vaters Heinrich Terborg auf Herausgabe lebzeitiger Zuwendungen in Anspruch. Die Eltern der Parteien hatten sich mit Erbvertrag vom 12.06.2008 (Urkunde des Notars Dr. Bramlage, Oldenburg, Urkundenrolle Nr. 812/2008) gegenseitig zu Alleinerben und den Kläger vertragsmäßig zum Schlusserben eingesetzt; der Beklagten war ein Geldvermächtnis über 50.000,00 EUR zugewandt. Ziffer 6 des Erbvertrags behält dem Längstlebenden den notariell zu beurkundenden Rücktritt von der Schlusserbeneinsetzung vor. Die Mutter verstarb am 18.02.2019. Einen Rücktritt hat der Erblasser nicht erklärt.</w:t>
      </w:r>
    </w:p>
    <w:p>
      <w:pPr>
        <w:jc w:val="left"/>
      </w:pPr>
      <w:r>
        <w:t>2.2 Mit Übergabevertrag vom 03.05.2021 übertrug der Erblasser der Beklagten die Hofstelle in Wardenburg gegen Einräumung eines Wohnungsrechts und Übernahme einer Pflegeverpflichtung. Mit Urkunde vom 14.07.2022 schenkte er ihr ein Baugrundstück in Hundsmühlen. Zwischen dem 15.06.2020 und dem 30.11.2023 überwies er ihr in zwölf Einzelbeträgen insgesamt 152.000,00 EUR. Der Nachlass belief sich beim Erbfall im Wesentlichen auf Bankguthaben von rund 88.000,00 EUR nebst einem Pkw.</w:t>
      </w:r>
    </w:p>
    <w:p>
      <w:pPr>
        <w:jc w:val="left"/>
      </w:pPr>
      <w:r>
        <w:t>2.3 Der Kläger behauptet, sämtliche Zuwendungen seien ohne lebzeitiges Eigeninteresse des Erblassers allein zu dem Zweck erfolgt, die durch den Erbvertrag begründete Erberwartung des Klägers auszuhöhlen. Die im Übergabevertrag versprochene Pflege habe die Beklagte tatsächlich nicht erbracht; der Erblasser sei ab März 2022 durch einen ambulanten Pflegedienst versorgt worden, den er selbst bezahlt habe. Er beantragt, die Beklagte zur Rückauflassung der Hofstelle und des Baugrundstücks sowie zur Zahlung von 152.000,00 EUR nebst Zinsen zu verurteilen.</w:t>
      </w:r>
    </w:p>
    <w:p>
      <w:pPr>
        <w:jc w:val="left"/>
      </w:pPr>
      <w:r>
        <w:t>2.4 Die Beklagte beantragt Klageabweisung. Sie meint, angesichts des vorbehaltenen Rücktrittsrechts habe der Kläger keine geschützte Erwartung erwerben können; jedenfalls fehle die Beeinträchtigungsabsicht. Die Übertragung der Hofstelle sei Gegenleistung für Wohnungsrecht, Versorgung und die von ihr über Jahre erbrachte persönliche Betreuung. Von den Geldbeträgen seien 35.000,00 EUR Darlehen und weitere Beträge übliche Gelegenheitsgeschenke gewesen.</w:t>
      </w:r>
    </w:p>
    <w:p>
      <w:pPr>
        <w:pStyle w:val="Heading2"/>
      </w:pPr>
      <w:r>
        <w:rPr>
          <w:rFonts w:ascii="Times New Roman" w:hAnsi="Times New Roman"/>
        </w:rPr>
        <w:t>3 Entscheidungsgründe</w:t>
      </w:r>
    </w:p>
    <w:p>
      <w:pPr>
        <w:jc w:val="left"/>
      </w:pPr>
      <w:r>
        <w:t>3.1 Die zulässige Klage ist teilweise begründet. Dem Kläger steht als Vertragserbe gegen die Beklagte ein Anspruch aus Paragraf 2287 Absatz 1 BGB in Verbindung mit den Vorschriften über die Herausgabe einer ungerechtfertigten Bereicherung zu, soweit die Zuwendungen in der Absicht erfolgten, den Vertragserben zu beeinträchtigen, und kein anerkennenswertes lebzeitiges Eigeninteresse des Erblassers bestand. Die Klagefrist des Paragrafen 2287 Absatz 2 BGB von drei Jahren ab dem Erbfall ist durch die am 27.02.2025 erhobene Klage gewahrt.</w:t>
      </w:r>
    </w:p>
    <w:p>
      <w:pPr>
        <w:jc w:val="left"/>
      </w:pPr>
      <w:r>
        <w:t>3.2 Der von der Beklagten hervorgehobene Rücktrittsvorbehalt steht dem Anspruch nach Auffassung der Kammer nicht von vornherein entgegen. Zwar wird im Schrifttum vertreten, ein umfassender Änderungs- oder Rücktrittsvorbehalt lasse die schutzwürdige Erwartung des Vertragserben entfallen. Der Erblasser hat den Rücktritt hier jedoch zu keinem Zeitpunkt erklärt, obwohl ihm dies bis zuletzt möglich gewesen wäre; er hat den ihm eröffneten formgebundenen Weg gerade nicht beschritten, sondern die Bindung bestehen lassen und ihr zugleich durch unentgeltliche Zuwendungen die wirtschaftliche Grundlage entzogen. Bei dieser Sachlage bleibt der Vertragserbe schutzwürdig; die abweichende Auffassung überzeugt die Kammer nicht.</w:t>
      </w:r>
    </w:p>
    <w:p>
      <w:pPr>
        <w:jc w:val="left"/>
      </w:pPr>
      <w:r>
        <w:t>3.3 Hinsichtlich der Geldzuwendungen von 152.000,00 EUR und des Baugrundstücks liegen danach beeinträchtigende Schenkungen vor. Ein lebzeitiges Eigeninteresse ist weder dargetan noch ersichtlich; die Beträge dienten nach dem Ergebnis der Beweisaufnahme der Vermögensverlagerung auf die Beklagte. Die Behauptung, 35.000,00 EUR seien als Darlehen gewährt worden, ist ohne Substanz geblieben: Es gibt weder einen Darlehensvertrag noch eine Zinsabrede noch eine Rückzahlung; der Erblasser hat die Beträge in seiner Vermögensübersicht selbst als Zuwendungen geführt. Auch als Anstands- oder Gelegenheitsgeschenke lassen sich Überweisungen von 8.000,00 bis 20.000,00 EUR bei den hier gegebenen Vermögensverhältnissen nicht einordnen. Das Baugrundstück wurde ohne jede Gegenleistung übertragen; sein Wert liegt nach dem Bodenrichtwert deutlich über der beurkundeten Wertangabe.</w:t>
      </w:r>
    </w:p>
    <w:p>
      <w:pPr>
        <w:jc w:val="left"/>
      </w:pPr>
      <w:r>
        <w:t>3.4 Wegen der Hofstelle hat die Klage dagegen keinen Erfolg. Der Übergabevertrag vom 03.05.2021 verschaffte dem Erblasser ein dinglich gesichertes Wohnungsrecht und eine Pflegeverpflichtung der Beklagten und diente damit jedenfalls auch seiner Versorgung im Alter. Ob die Pflege in der Folge vollständig vertragsgemäß erbracht wurde, ist für das im Zeitpunkt der Zuwendung zu beurteilende Eigeninteresse nicht ausschlaggebend; die Kammer vermochte sich insoweit nicht davon zu überzeugen, dass die Versorgungsabrede nur vorgeschoben war.</w:t>
      </w:r>
    </w:p>
    <w:p>
      <w:pPr>
        <w:jc w:val="left"/>
      </w:pPr>
      <w:r>
        <w:t>3.5 Die Rechtsfolge richtet sich nach Bereicherungsrecht. Das Baugrundstück ist in Natur herauszugeben; hinsichtlich der Geldzuwendungen schuldet die Beklagte Wertersatz in voller Höhe. Die Zinsentscheidung folgt aus Rechtshängigkeit, die Kostenentscheidung aus dem Verhältnis von Obsiegen und Unterliegen unter Berücksichtigung des Werts der Hofstelle, die Entscheidung zur vorläufigen Vollstreckbarkeit aus den allgemeinen Vorschriften der Zivilprozessordnung.</w:t>
      </w:r>
    </w:p>
    <w:p>
      <w:pPr>
        <w:jc w:val="left"/>
      </w:pPr>
      <w:r>
        <w:t>Dr. Hollmann — Peters — Dr. Schwarting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