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Berufungsbegründung der Beklagten vom 18.05.2026</w:t>
      </w:r>
    </w:p>
    <w:p>
      <w:pPr>
        <w:jc w:val="left"/>
      </w:pPr>
      <w:r>
        <w:t>Brünjes &amp; Terveer Rechtsanwälte, Cloppenburger Straße 148, 26133 Oldenburg</w:t>
      </w:r>
    </w:p>
    <w:p>
      <w:pPr>
        <w:jc w:val="left"/>
      </w:pPr>
      <w:r>
        <w:t>An das Oberlandesgericht Oldenburg, 8. Zivilsenat, Richard-Wagner-Platz 1, 26135 Oldenburg</w:t>
      </w:r>
    </w:p>
    <w:p>
      <w:pPr>
        <w:jc w:val="left"/>
      </w:pPr>
      <w:r>
        <w:t>In dem Rechtsstreit Terborg gegen Ahrends, Aktenzeichen 8 U 63/26 (Landgericht Oldenburg 5 O 458/25), begründen wir die Berufung der Beklagten wie folgt und beantragen, das Urteil des Landgerichts Oldenburg vom 12.03.2026 abzuändern und die Klage insgesamt abzuweisen.</w:t>
      </w:r>
    </w:p>
    <w:p>
      <w:pPr>
        <w:pStyle w:val="Heading2"/>
      </w:pPr>
      <w:r>
        <w:rPr>
          <w:rFonts w:ascii="Times New Roman" w:hAnsi="Times New Roman"/>
        </w:rPr>
        <w:t>1 Zusammenfassung der Angriffe</w:t>
      </w:r>
    </w:p>
    <w:p>
      <w:pPr>
        <w:jc w:val="left"/>
      </w:pPr>
      <w:r>
        <w:t>Das Landgericht hat den Rücktrittsvorbehalt in Ziffer 6 des Erbvertrags rechtsfehlerhaft für unerheblich gehalten, die Beeinträchtigungsabsicht ohne tragfähige Feststellungen bejaht und den Umfang der Geldzuwendungen unzutreffend bestimmt.</w:t>
      </w:r>
    </w:p>
    <w:p>
      <w:pPr>
        <w:pStyle w:val="Heading2"/>
      </w:pPr>
      <w:r>
        <w:rPr>
          <w:rFonts w:ascii="Times New Roman" w:hAnsi="Times New Roman"/>
        </w:rPr>
        <w:t>2 Kein schutzwürdiges Vertrauen des Vertragserben</w:t>
      </w:r>
    </w:p>
    <w:p>
      <w:pPr>
        <w:jc w:val="left"/>
      </w:pPr>
      <w:r>
        <w:t>2.1 Die Schlusserbeneinsetzung des Klägers stand nach Ziffer 6 des Erbvertrags unter einem uneingeschränkten Rücktrittsvorbehalt des Längstlebenden. Der Erblasser hätte die Bindung jederzeit durch notariell beurkundete Erklärung beseitigen können. Eine Erberwartung, die der Erblasser einseitig zerstören kann, ist nicht schutzwürdig. Es entspricht einer in Rechtsprechung und Schrifttum verbreiteten Auffassung, dass bereits die Einräumung eines solchen Vorbehalts die Anwendung des Paragrafen 2287 BGB ausschließt, ohne dass es auf die tatsächliche Ausübung ankommt. Diese Auffassung hat auch ein Oberlandesgericht in einem jüngeren Berufungsverfahren zu einer vergleichbaren Vertragsgestaltung zugrunde gelegt und die dortige Klage eines Vertragserben insgesamt abgewiesen.</w:t>
      </w:r>
    </w:p>
    <w:p>
      <w:pPr>
        <w:jc w:val="left"/>
      </w:pPr>
      <w:r>
        <w:t>2.2 Wer wie der Erblasser rechtlich frei ist, seine letztwillige Bindung aufzuheben, muss erst recht frei sein, zu Lebzeiten über sein Vermögen zu verfügen. Die gegenteilige Sicht des Landgerichts führt dazu, dass der Vorbehalt leerläuft und der Erblasser trotz vereinbarter Lösungsmöglichkeit wirtschaftlich gebunden bliebe.</w:t>
      </w:r>
    </w:p>
    <w:p>
      <w:pPr>
        <w:pStyle w:val="Heading2"/>
      </w:pPr>
      <w:r>
        <w:rPr>
          <w:rFonts w:ascii="Times New Roman" w:hAnsi="Times New Roman"/>
        </w:rPr>
        <w:t>3 Hilfsweise: keine Beeinträchtigungsabsicht, lebzeitiges Eigeninteresse</w:t>
      </w:r>
    </w:p>
    <w:p>
      <w:pPr>
        <w:jc w:val="left"/>
      </w:pPr>
      <w:r>
        <w:t>3.1 Sämtliche Zuwendungen beruhten auf der jahrelangen engen Beziehung der Beklagten zu ihrem Vater und auf dessen Wunsch, seine Versorgung zu sichern. Die Beklagte hat den Erblasser seit dem Tod der Mutter regelmäßig betreut, den Haushalt organisiert und war seine tägliche Ansprechpartnerin. Die Übertragung der Hofstelle war hierfür Gegenleistung und zugleich Versorgungsinstrument; das hat das Landgericht zutreffend erkannt.</w:t>
      </w:r>
    </w:p>
    <w:p>
      <w:pPr>
        <w:jc w:val="left"/>
      </w:pPr>
      <w:r>
        <w:t>3.2 Für das Baugrundstück gilt nichts anderes. Der Erblasser wollte der Beklagten den seit langem versprochenen Bauplatz für das Alter zuwenden; ein Bezug zur Erbfolge bestand nicht.</w:t>
      </w:r>
    </w:p>
    <w:p>
      <w:pPr>
        <w:pStyle w:val="Heading2"/>
      </w:pPr>
      <w:r>
        <w:rPr>
          <w:rFonts w:ascii="Times New Roman" w:hAnsi="Times New Roman"/>
        </w:rPr>
        <w:t>4 Höhe der Geldzuwendungen</w:t>
      </w:r>
    </w:p>
    <w:p>
      <w:pPr>
        <w:jc w:val="left"/>
      </w:pPr>
      <w:r>
        <w:t>4.1 Unentgeltliche Zuwendungen liegen allenfalls in Höhe von 95.000,00 EUR vor. Die Überweisungen vom 14.02.2022 über 20.000,00 EUR und vom 30.06.2022 über 15.000,00 EUR waren Darlehen zur Finanzierung eines Fahrzeugs und einer Photovoltaikanlage; die Rückzahlung war auf Zuruf vereinbart und wurde vom Erblasser zu Lebzeiten nicht verlangt. Weitere 22.000,00 EUR entfallen auf übliche Geschenke zu Weihnachten und Geburtstagen, die als Anstandsschenkungen von vornherein nicht herausgabepflichtig sind.</w:t>
      </w:r>
    </w:p>
    <w:p>
      <w:pPr>
        <w:jc w:val="left"/>
      </w:pPr>
      <w:r>
        <w:t>4.2 Das Landgericht hat den Vortrag der Beklagten zu den Darlehensabreden übergangen und die Zeugin Marret Lammers, die bei dem Gespräch über den Autokauf zugegen war, nicht vernommen. Dies wird als Verfahrensfehler gerügt; die Vernehmung wird im Berufungsrechtszug beantragt.</w:t>
      </w:r>
    </w:p>
    <w:p>
      <w:pPr>
        <w:pStyle w:val="Heading2"/>
      </w:pPr>
      <w:r>
        <w:rPr>
          <w:rFonts w:ascii="Times New Roman" w:hAnsi="Times New Roman"/>
        </w:rPr>
        <w:t>5 Anträge</w:t>
      </w:r>
    </w:p>
    <w:p>
      <w:pPr>
        <w:jc w:val="left"/>
      </w:pPr>
      <w:r>
        <w:t>Die Beklagte beantragt, unter Abänderung des angefochtenen Urteils die Klage insgesamt abzuweisen, hilfsweise die Verurteilung zur Zahlung auf 95.000,00 EUR herabzusetzen, sowie dem Kläger die Kosten beider Rechtszüge aufzuerlegen.</w:t>
      </w:r>
    </w:p>
    <w:p>
      <w:pPr>
        <w:jc w:val="left"/>
      </w:pPr>
      <w:r>
        <w:t>Dr. Gesa Brünjes, Rechtsanwältin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