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Kasse und Steuerstelle · Mirjam Ben Ami</w:t>
      </w:r>
    </w:p>
    <w:p>
      <w:pPr>
        <w:pStyle w:val="Title"/>
      </w:pPr>
      <w:r>
        <w:t>Zahlungen und steuerliche Zuordnung der Kanalreparatur</w:t>
      </w:r>
    </w:p>
    <w:p>
      <w:r>
        <w:t>28.09.2026</w:t>
      </w:r>
    </w:p>
    <w:p>
      <w:pPr>
        <w:pStyle w:val="Heading1"/>
      </w:pPr>
      <w:r>
        <w:t>1 Zahlungen</w:t>
      </w:r>
    </w:p>
    <w:p>
      <w:r>
        <w:t>Die Rechnung der Kanalbau Irmgard Behrlein GmbH vom 10. September über 3.284,40 EUR wurde am 22. September vollständig bezahlt. Die Rechnung des Pumpendienstes Anwar Malik vom 9. September über 952,00 EUR wurde am 21. September vollständig bezahlt. Skonto wurde nicht vereinbart und nicht abgezogen. Für die beiden Fremdrechnungen sind damit 4.236,40 EUR abgeflossen. Eine Erstattung durch Dritte oder einen Versicherer ist auf dem Sachkonto bisher nicht gebucht.</w:t>
      </w:r>
    </w:p>
    <w:p>
      <w:pPr>
        <w:pStyle w:val="Heading1"/>
      </w:pPr>
      <w:r>
        <w:t>2 Steuerliche Behandlung</w:t>
      </w:r>
    </w:p>
    <w:p>
      <w:r>
        <w:t>Nach der für diesen Regiebetrieb geführten steuerlichen Zuordnung betrifft der reparierte Kanal ausschließlich die hoheitliche öffentliche Abwasserbeseitigung. Die beiden Rechnungen sind dieser Tätigkeit vollständig zugeordnet. Für ihre Umsatzsteuerbeträge von zusammen 676,40 EUR wird keine Vorsteuer abgezogen; es gibt in diesem Vorgang keine Zuordnung zu einer steuerpflichtigen Nebenleistung. Diese Aussage betrifft die konkrete Buchung und ist keine Aussage über sämtliche Tätigkeiten der Stadt.</w:t>
      </w:r>
    </w:p>
    <w:p>
      <w:pPr>
        <w:pStyle w:val="Heading1"/>
      </w:pPr>
      <w:r>
        <w:t>3 Eigene Leistungen</w:t>
      </w:r>
    </w:p>
    <w:p>
      <w:r>
        <w:t>Die Personalstunden des Regiebetriebs sind noch nicht als Erstattungsforderung gebucht. Die Werkleitung hat einen Betrag von 336,00 EUR angemeldet. Ob dieser Betrag zusätzlichen Aufwand oder eine interne Verrechnung ohnehin anfallender Personalentgelte enthält, ist aus der Kostenanforderung noch nicht ersichtlich. Eine Zahlung auf eine eigene Rechnung liegt dafür naturgemäß nicht vor.</w:t>
      </w:r>
    </w:p>
    <w:p>
      <w:r>
        <w:t>Mirjam Ben Ami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Zahlungen und steuerliche Zuordnung der Kanalreparatur</dc:title>
  <dc:subject/>
  <dc:creator>Stadt Würzburg · Kasse und Steuerstelle · Mirjam Ben Ami</dc:creator>
  <cp:keywords/>
  <dc:description>generated by python-docx</dc:description>
  <cp:lastModifiedBy/>
  <cp:revision>1</cp:revision>
  <dcterms:created xsi:type="dcterms:W3CDTF">2026-10-01T09:00:00Z</dcterms:created>
  <dcterms:modified xsi:type="dcterms:W3CDTF">2026-10-01T09:00:00Z</dcterms:modified>
  <cp:category/>
</cp:coreProperties>
</file>