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Bauaufsicht · Wolfram Reuther</w:t>
      </w:r>
    </w:p>
    <w:p>
      <w:pPr>
        <w:pStyle w:val="Title"/>
      </w:pPr>
      <w:r>
        <w:t>Bescheid über die beantragte Nutzungsänderung</w:t>
      </w:r>
    </w:p>
    <w:p>
      <w:r>
        <w:t>02.06.2026</w:t>
      </w:r>
    </w:p>
    <w:p>
      <w:r>
        <w:t>Sehr geehrte Frau Adebayo,</w:t>
      </w:r>
    </w:p>
    <w:p>
      <w:pPr>
        <w:pStyle w:val="Heading1"/>
      </w:pPr>
      <w:r>
        <w:t>1 Entscheidung</w:t>
      </w:r>
    </w:p>
    <w:p>
      <w:r>
        <w:t>Ihr Antrag vom 14. April 2026 auf Nutzungsänderung des Lagerraums am Haselkornbogen 5 einschließlich der beantragten Öffnung in der tragenden Innenwand wird abgelehnt. Über die Verfahrenskosten ergeht eine gesonderte Mitteilung. Gegenstand dieser Entscheidung ist allein die beantragte Nutzung des bezeichneten Erdgeschossraums.</w:t>
      </w:r>
    </w:p>
    <w:p>
      <w:pPr>
        <w:pStyle w:val="Heading1"/>
      </w:pPr>
      <w:r>
        <w:t>2 Begründung</w:t>
      </w:r>
    </w:p>
    <w:p>
      <w:r>
        <w:t>Die bauplanungsrechtliche Zulässigkeit wird nach § 34 BauGB beurteilt. In der näheren Umgebung überwiegen Wohnnutzung, kleinere Büros und Läden. Der von uns der Prüfung zugrunde gelegte Werkstattbetrieb mit täglichem Maschinenbetrieb und regelmäßigem Anlieferverkehr fügt sich nach der Art der Nutzung nicht in diese Umgebung ein. Die für eine Genehmigung nach Art. 68 BayBO erforderlichen Voraussetzungen liegen damit nach dem hier zugrunde gelegten Betriebsumfang nicht vor. Eine Beschränkung der beantragten Werkstatt auf einen bloßen Bürobetrieb wäre eine wesentliche Änderung des Vorhabens, die Sie nicht beantragt haben.</w:t>
      </w:r>
    </w:p>
    <w:p>
      <w:pPr>
        <w:pStyle w:val="Heading1"/>
      </w:pPr>
      <w:r>
        <w:t>3 Rechtsbehelfsbelehrung</w:t>
      </w:r>
    </w:p>
    <w:p>
      <w:r>
        <w:t>Gegen diesen Bescheid kann innerhalb eines Monats nach seiner Bekanntgabe Klage beim Bayerischen Verwaltungsgericht Würzburg erhoben werden. Die Klage kann schriftlich, zur Niederschrift des Urkundsbeamten der Geschäftsstelle oder in zugelassener elektronischer Form erhoben werden. Eine einfache E-Mail genügt der vorgeschriebenen elektronischen Form nicht.</w:t>
      </w:r>
    </w:p>
    <w:p>
      <w:r>
        <w:t>Wolfram Reuther, für die Bauaufsicht</w:t>
      </w:r>
    </w:p>
    <w:p>
      <w:r>
        <w:t>Zustellvermerk der Akte: Die Ausfertigung wurde Frau Adebayo am 5. Juni 2026 gegen Empfangsbestätigung übergeben.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beantragte Nutzungsänderung</dc:title>
  <dc:subject/>
  <dc:creator>Stadt Würzburg · Bauaufsicht · Wolfram Reuther</dc:creator>
  <cp:keywords/>
  <dc:description>generated by python-docx</dc:description>
  <cp:lastModifiedBy/>
  <cp:revision>1</cp:revision>
  <dcterms:created xsi:type="dcterms:W3CDTF">2026-10-01T09:00:00Z</dcterms:created>
  <dcterms:modified xsi:type="dcterms:W3CDTF">2026-10-01T09:00:00Z</dcterms:modified>
  <cp:category/>
</cp:coreProperties>
</file>