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Genossenschaftliche Musterbank Mainlaub eG · Kundenbetreuung Beate Heckenast</w:t>
      </w:r>
    </w:p>
    <w:p>
      <w:pPr>
        <w:pStyle w:val="Title"/>
      </w:pPr>
      <w:r>
        <w:t>Bereitstellungszinsen für Ausbaukredit</w:t>
      </w:r>
    </w:p>
    <w:p>
      <w:r>
        <w:t>05.08.2026</w:t>
      </w:r>
    </w:p>
    <w:p>
      <w:r>
        <w:t>Kundin: Tola Adebayo. Zweck des vereinbarten Kredits ist die Finanzierung der Wandöffnung und der technischen Ausstattung des geplanten Büros am Haselkornbogen 5. Der Kreditrahmen beträgt 8.000,00 EUR. Nach der am 20. April geschlossenen Vereinbarung kann die Auszahlung nach Vorlage der Genehmigung und der Handwerkerrechnungen erfolgen. Die Auszahlung war von der Kundin ursprünglich für Anfang Juni angekündigt.</w:t>
      </w:r>
    </w:p>
    <w:p>
      <w:r>
        <w:t>Ab 1. Juni fallen auf den noch nicht abgerufenen Betrag monatlich 0,25 Prozent Bereitstellungszinsen an. Für Juni werden deshalb 20,00 EUR und für Juli weitere 20,00 EUR berechnet, zusammen 40,00 EUR. Während dieser Zeit wurde kein Teilbetrag ausgezahlt. Die Abrechnung wird am 5. August dem Geschäftskonto belastet. Tilgung und reguläre Kreditzinsen sind in diesem Betrag nicht enthalten.</w:t>
      </w:r>
    </w:p>
    <w:p>
      <w:r>
        <w:t>Die Kundin bat am 26. Juni wegen der fehlenden Genehmigung um Aussetzung der Bereitstellungszinsen. Die Bank hielt mit Antwort vom 30. Juni an der vereinbarten Berechnung fest. Eine Umstellung auf einen anderen Kredit oder eine vorzeitige Auszahlung wurde nicht vereinbart. Die Genehmigung wurde der Bank am 4. August vorgelegt; Handwerkerrechnungen lagen zu diesem Zeitpunkt noch nicht vor.</w:t>
      </w:r>
    </w:p>
    <w:p>
      <w:r>
        <w:t>Beate Heckenast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Bereitstellungszinsen für Ausbaukredit</dc:title>
  <dc:subject/>
  <dc:creator>Genossenschaftliche Musterbank Mainlaub eG · Kundenbetreuung Beate Heckenast</dc:creator>
  <cp:keywords/>
  <dc:description>generated by python-docx</dc:description>
  <cp:lastModifiedBy/>
  <cp:revision>1</cp:revision>
  <dcterms:created xsi:type="dcterms:W3CDTF">2026-10-01T09:00:00Z</dcterms:created>
  <dcterms:modified xsi:type="dcterms:W3CDTF">2026-10-01T09:00:00Z</dcterms:modified>
  <cp:category/>
</cp:coreProperties>
</file>