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Dr. Elin Nørgaard</w:t>
        <w:br/>
        <w:t>Westphal · Dierkes · Mohn Partnerschaft mbB</w:t>
        <w:br/>
        <w:t>Taunusanlage 18</w:t>
        <w:br/>
        <w:t>60325 Frankfurt am Main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03.07.2026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T-412/26 · Lipsia Speichertechnik/Kommission</w:t>
            </w:r>
          </w:p>
        </w:tc>
      </w:tr>
    </w:tbl>
    <w:p>
      <w:pPr>
        <w:spacing w:after="40"/>
      </w:pPr>
    </w:p>
    <w:p>
      <w:pPr>
        <w:spacing w:after="240"/>
      </w:pPr>
      <w:r>
        <w:rPr>
          <w:b/>
          <w:sz w:val="23"/>
        </w:rPr>
        <w:t>Klageeingang – zu behebende formale Mängel</w:t>
      </w:r>
    </w:p>
    <w:p>
      <w:r>
        <w:t>Sehr geehrte Frau Kollegin,</w:t>
      </w:r>
    </w:p>
    <w:p>
      <w:pPr>
        <w:pStyle w:val="Heading1"/>
      </w:pPr>
      <w:r>
        <w:t>1. Vollmacht und Registerunterlage</w:t>
      </w:r>
    </w:p>
    <w:p>
      <w:pPr>
        <w:widowControl/>
        <w:jc w:val="both"/>
      </w:pPr>
      <w:r>
        <w:t>Die hochgeladene Vollmacht trägt zwei eingescannte Unterschriften, lässt jedoch die Vertretungsbefugnis des zweiten Vorstandsmitglieds nicht aus sich heraus erkennen. Bitte reichen Sie einen aktuellen Handelsregisterauszug und eine lesbare Fassung des Vorstandsbeschlusses ein.</w:t>
      </w:r>
    </w:p>
    <w:p>
      <w:pPr>
        <w:pStyle w:val="Heading1"/>
      </w:pPr>
      <w:r>
        <w:t>2. Anlagen</w:t>
      </w:r>
    </w:p>
    <w:p>
      <w:pPr>
        <w:widowControl/>
        <w:jc w:val="both"/>
      </w:pPr>
      <w:r>
        <w:t>Anlage A.9 wurde in der Klageschrift auf Seite 31 zitiert, ist im Anlagenverzeichnis jedoch als A.8 bezeichnet. Für Anlage A.12 liegt eine vertrauliche Fassung vor; die hochgeladene nicht vertrauliche Fassung enthält auf Seite 6 weiterhin Namen und Einzelpreise. Bitte berichtigen Sie Nummerierung und Fassung.</w:t>
      </w:r>
    </w:p>
    <w:p>
      <w:pPr>
        <w:pStyle w:val="Heading1"/>
      </w:pPr>
      <w:r>
        <w:t>3. Frist</w:t>
      </w:r>
    </w:p>
    <w:p>
      <w:pPr>
        <w:widowControl/>
        <w:jc w:val="both"/>
      </w:pPr>
      <w:r>
        <w:t>Die genannten Punkte sind bis zum 13.07.2026 über e-Curia zu beheben. Dieses Schreiben greift einer Entscheidung über die Zulässigkeit der Klage nicht vor.</w:t>
      </w:r>
    </w:p>
    <w:p>
      <w:r>
        <w:t>Mit vorzüglicher Hochachtung</w:t>
      </w:r>
    </w:p>
    <w:p>
      <w:pPr>
        <w:spacing w:after="0"/>
      </w:pPr>
      <w:r>
        <w:rPr>
          <w:b/>
        </w:rPr>
        <w:t>L. Ferreira</w:t>
      </w:r>
    </w:p>
    <w:p>
      <w:pPr>
        <w:spacing w:after="160"/>
      </w:pPr>
      <w:r>
        <w:t>Kanzler der Dritten Kammer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Gericht der Europäischen Union  |  Kanzlei · Direkte Klagen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Gericht der Europäischen Union</w:t>
          </w:r>
          <w:r>
            <w:rPr>
              <w:rFonts w:ascii="Arial" w:hAnsi="Arial"/>
              <w:color w:val="5C6266"/>
              <w:sz w:val="17"/>
            </w:rPr>
            <w:br/>
            <w:t>Kanzlei · Direkte Klagen</w:t>
          </w:r>
        </w:p>
      </w:tc>
      <w:tc>
        <w:tcPr>
          <w:tcW w:type="dxa" w:w="3742"/>
        </w:tcPr>
        <w:p>
          <w:pPr>
            <w:spacing w:after="0"/>
            <w:jc w:val="right"/>
          </w:pPr>
          <w:r>
            <w:rPr>
              <w:rFonts w:ascii="Arial" w:hAnsi="Arial"/>
              <w:color w:val="5C6266"/>
              <w:sz w:val="15"/>
            </w:rPr>
            <w:t>Rue du Fort Niedergrünewald · L-2925 Luxemburg</w:t>
            <w:br/>
            <w:t>Telefon +352 4303 1 · RegistryGC@curia.europa.eu</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