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Gesellschaftsvertrag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Notarielle Urschrift</w:t>
            </w:r>
          </w:p>
        </w:tc>
        <w:tc>
          <w:tcPr>
            <w:tcW w:type="dxa" w:w="7313"/>
            <w:vAlign w:val="top"/>
          </w:tcPr>
          <w:p>
            <w:pPr>
              <w:spacing w:after="20"/>
            </w:pPr>
            <w:r>
              <w:rPr>
                <w:rFonts w:ascii="Arial" w:hAnsi="Arial"/>
                <w:sz w:val="18"/>
              </w:rPr>
              <w:t>UR-Nr. 41/2022 Notarin Dr. Cora Mertens, Ulm</w:t>
            </w:r>
          </w:p>
        </w:tc>
      </w:tr>
      <w:tr>
        <w:tc>
          <w:tcPr>
            <w:tcW w:type="dxa" w:w="1928"/>
            <w:vAlign w:val="top"/>
          </w:tcPr>
          <w:p>
            <w:pPr>
              <w:spacing w:after="20"/>
            </w:pPr>
            <w:r>
              <w:rPr>
                <w:rFonts w:ascii="Arial" w:hAnsi="Arial"/>
                <w:b/>
                <w:color w:val="5C6266"/>
                <w:sz w:val="17"/>
              </w:rPr>
              <w:t>Register</w:t>
            </w:r>
          </w:p>
        </w:tc>
        <w:tc>
          <w:tcPr>
            <w:tcW w:type="dxa" w:w="7313"/>
            <w:vAlign w:val="top"/>
          </w:tcPr>
          <w:p>
            <w:pPr>
              <w:spacing w:after="20"/>
            </w:pPr>
            <w:r>
              <w:rPr>
                <w:rFonts w:ascii="Arial" w:hAnsi="Arial"/>
                <w:sz w:val="18"/>
              </w:rPr>
              <w:t>HRB 728441 Amtsgericht Ulm</w:t>
            </w:r>
          </w:p>
        </w:tc>
      </w:tr>
      <w:tr>
        <w:tc>
          <w:tcPr>
            <w:tcW w:type="dxa" w:w="1928"/>
            <w:vAlign w:val="top"/>
          </w:tcPr>
          <w:p>
            <w:pPr>
              <w:spacing w:after="20"/>
            </w:pPr>
            <w:r>
              <w:rPr>
                <w:rFonts w:ascii="Arial" w:hAnsi="Arial"/>
                <w:b/>
                <w:color w:val="5C6266"/>
                <w:sz w:val="17"/>
              </w:rPr>
              <w:t>Stammkapital</w:t>
            </w:r>
          </w:p>
        </w:tc>
        <w:tc>
          <w:tcPr>
            <w:tcW w:type="dxa" w:w="7313"/>
            <w:vAlign w:val="top"/>
          </w:tcPr>
          <w:p>
            <w:pPr>
              <w:spacing w:after="20"/>
            </w:pPr>
            <w:r>
              <w:rPr>
                <w:rFonts w:ascii="Arial" w:hAnsi="Arial"/>
                <w:sz w:val="18"/>
              </w:rPr>
              <w:t>500000 EUR</w:t>
            </w:r>
          </w:p>
        </w:tc>
      </w:tr>
      <w:tr>
        <w:tc>
          <w:tcPr>
            <w:tcW w:type="dxa" w:w="1928"/>
            <w:vAlign w:val="top"/>
          </w:tcPr>
          <w:p>
            <w:pPr>
              <w:spacing w:after="20"/>
            </w:pPr>
            <w:r>
              <w:rPr>
                <w:rFonts w:ascii="Arial" w:hAnsi="Arial"/>
                <w:b/>
                <w:color w:val="5C6266"/>
                <w:sz w:val="17"/>
              </w:rPr>
              <w:t>Geschäftsjahr</w:t>
            </w:r>
          </w:p>
        </w:tc>
        <w:tc>
          <w:tcPr>
            <w:tcW w:type="dxa" w:w="7313"/>
            <w:vAlign w:val="top"/>
          </w:tcPr>
          <w:p>
            <w:pPr>
              <w:spacing w:after="20"/>
            </w:pPr>
            <w:r>
              <w:rPr>
                <w:rFonts w:ascii="Arial" w:hAnsi="Arial"/>
                <w:sz w:val="18"/>
              </w:rPr>
              <w:t>Kalenderjahr</w:t>
            </w:r>
          </w:p>
        </w:tc>
      </w:tr>
    </w:tbl>
    <w:p>
      <w:pPr>
        <w:spacing w:after="40"/>
      </w:pPr>
    </w:p>
    <w:p>
      <w:pPr>
        <w:pStyle w:val="Heading1"/>
      </w:pPr>
      <w:r>
        <w:t>1. Firma und Sitz</w:t>
      </w:r>
    </w:p>
    <w:p>
      <w:pPr>
        <w:widowControl/>
        <w:jc w:val="both"/>
      </w:pPr>
      <w:r>
        <w:t>Die Gesellschaft führt die Firma Brenner Präzisionsguss GmbH und hat ihren Sitz in Ulm. Gegenstand ist die Entwicklung, Herstellung und der Vertrieb von Präzisionsgussteilen sowie die Erbringung damit verbundener technischer Dienstleistungen.</w:t>
      </w:r>
    </w:p>
    <w:p>
      <w:pPr>
        <w:pStyle w:val="Heading1"/>
      </w:pPr>
      <w:r>
        <w:t>2. Geschäftsanteile</w:t>
      </w:r>
    </w:p>
    <w:p>
      <w:pPr>
        <w:widowControl/>
        <w:jc w:val="both"/>
      </w:pPr>
      <w:r>
        <w:t>Vom Stammkapital halten Viktor Brenner einen Geschäftsanteil von 200000 EUR, Dr. Anna Brenner einen Geschäftsanteil von 175000 EUR und die Familienkontor Brenner KG einen Geschäftsanteil von 125000 EUR. Jeder Euro eines Geschäftsanteils gewährt eine Stimme.</w:t>
      </w:r>
    </w:p>
    <w:p>
      <w:pPr>
        <w:pStyle w:val="Heading1"/>
      </w:pPr>
      <w:r>
        <w:t>3. Gesellschafterbeschlüsse</w:t>
      </w:r>
    </w:p>
    <w:p>
      <w:pPr>
        <w:widowControl/>
        <w:jc w:val="both"/>
      </w:pPr>
      <w:r>
        <w:t>Beschlüsse werden grundsätzlich mit einfacher Mehrheit der abgegebenen Stimmen gefasst. Änderungen des Gesellschaftsvertrags, Kapitalmaßnahmen, Veräußerung wesentlicher Betriebsteile und Rechtsgeschäfte mit Gesellschaftern oder ihnen nahestehenden Unternehmen bedürfen einer Mehrheit von 75 Prozent der abgegebenen Stimmen. Gesetzliche Stimmverbote bleiben unberührt.</w:t>
      </w:r>
    </w:p>
    <w:p>
      <w:pPr>
        <w:pStyle w:val="Heading1"/>
      </w:pPr>
      <w:r>
        <w:t>4. Informationsrechte</w:t>
      </w:r>
    </w:p>
    <w:p>
      <w:pPr>
        <w:widowControl/>
        <w:jc w:val="both"/>
      </w:pPr>
      <w:r>
        <w:t>Jeder Gesellschafter kann während der Geschäftszeiten Einsicht in Bücher und Schriften verlangen. Bei laufenden Verhandlungen mit Banken darf die Geschäftsführung besonders sensible Unterlagen zunächst in einem gesicherten Datenraum bereitstellen.</w:t>
      </w:r>
    </w:p>
    <w:p>
      <w:pPr>
        <w:pStyle w:val="Heading1"/>
      </w:pPr>
      <w:r>
        <w:t>5. Wettbewerbs- und Nachfolgeregelung</w:t>
      </w:r>
    </w:p>
    <w:p>
      <w:pPr>
        <w:widowControl/>
        <w:jc w:val="both"/>
      </w:pPr>
      <w:r>
        <w:t>Gesellschafter dürfen ohne Zustimmung keine unmittelbar konkurrierende Tätigkeit aufnehmen. Übertragungen an Abkömmlinge sind nach schriftlicher Anzeige zulässig; im Übrigen besteht ein Vorerwerbsrecht der Mitgesellschafter.</w:t>
      </w:r>
    </w:p>
    <w:p/>
    <w:p>
      <w:r>
        <w:rPr>
          <w:b/>
        </w:rPr>
        <w:t>Dr. Cora Mertens</w:t>
      </w:r>
    </w:p>
    <w:p>
      <w:r>
        <w:t>Notarin · beglaubigte Lesefassung</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Brenner Präzisionsguss GmbH  |  Gesellschaftsunterlagen · Lesefassung vom 12.01.2022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Brenner Präzisionsguss GmbH</w:t>
          </w:r>
          <w:r>
            <w:rPr>
              <w:rFonts w:ascii="Arial" w:hAnsi="Arial"/>
              <w:color w:val="5C6266"/>
              <w:sz w:val="17"/>
            </w:rPr>
            <w:br/>
            <w:t>Gesellschaftsunterlagen · Lesefassung vom 12.01.2022</w:t>
          </w:r>
        </w:p>
      </w:tc>
      <w:tc>
        <w:tcPr>
          <w:tcW w:type="dxa" w:w="3742"/>
        </w:tcPr>
        <w:p>
          <w:pPr>
            <w:spacing w:after="0"/>
            <w:jc w:val="right"/>
          </w:pPr>
          <w:r>
            <w:rPr>
              <w:rFonts w:ascii="Arial" w:hAnsi="Arial"/>
              <w:color w:val="5C6266"/>
              <w:sz w:val="15"/>
            </w:rPr>
            <w:t>Magirusstraße 28 · 89077 Ulm</w:t>
            <w:br/>
            <w:t>Telefon 0731 509 60 · gesellschaft@brenner-guss.de</w:t>
            <w:br/>
            <w:t>HRB 728441 Amtsgericht Ulm · Stammkapital 500000 EUR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