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Niederschrift vom 21.05.2026</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Beginn</w:t>
            </w:r>
          </w:p>
        </w:tc>
        <w:tc>
          <w:tcPr>
            <w:tcW w:type="dxa" w:w="7313"/>
            <w:vAlign w:val="top"/>
          </w:tcPr>
          <w:p>
            <w:pPr>
              <w:spacing w:after="20"/>
            </w:pPr>
            <w:r>
              <w:rPr>
                <w:rFonts w:ascii="Arial" w:hAnsi="Arial"/>
                <w:sz w:val="18"/>
              </w:rPr>
              <w:t>14:03 Uhr</w:t>
            </w:r>
          </w:p>
        </w:tc>
      </w:tr>
      <w:tr>
        <w:tc>
          <w:tcPr>
            <w:tcW w:type="dxa" w:w="1928"/>
            <w:vAlign w:val="top"/>
          </w:tcPr>
          <w:p>
            <w:pPr>
              <w:spacing w:after="20"/>
            </w:pPr>
            <w:r>
              <w:rPr>
                <w:rFonts w:ascii="Arial" w:hAnsi="Arial"/>
                <w:b/>
                <w:color w:val="5C6266"/>
                <w:sz w:val="17"/>
              </w:rPr>
              <w:t>Ende</w:t>
            </w:r>
          </w:p>
        </w:tc>
        <w:tc>
          <w:tcPr>
            <w:tcW w:type="dxa" w:w="7313"/>
            <w:vAlign w:val="top"/>
          </w:tcPr>
          <w:p>
            <w:pPr>
              <w:spacing w:after="20"/>
            </w:pPr>
            <w:r>
              <w:rPr>
                <w:rFonts w:ascii="Arial" w:hAnsi="Arial"/>
                <w:sz w:val="18"/>
              </w:rPr>
              <w:t>17:18 Uhr</w:t>
            </w:r>
          </w:p>
        </w:tc>
      </w:tr>
      <w:tr>
        <w:tc>
          <w:tcPr>
            <w:tcW w:type="dxa" w:w="1928"/>
            <w:vAlign w:val="top"/>
          </w:tcPr>
          <w:p>
            <w:pPr>
              <w:spacing w:after="20"/>
            </w:pPr>
            <w:r>
              <w:rPr>
                <w:rFonts w:ascii="Arial" w:hAnsi="Arial"/>
                <w:b/>
                <w:color w:val="5C6266"/>
                <w:sz w:val="17"/>
              </w:rPr>
              <w:t>Ort</w:t>
            </w:r>
          </w:p>
        </w:tc>
        <w:tc>
          <w:tcPr>
            <w:tcW w:type="dxa" w:w="7313"/>
            <w:vAlign w:val="top"/>
          </w:tcPr>
          <w:p>
            <w:pPr>
              <w:spacing w:after="20"/>
            </w:pPr>
            <w:r>
              <w:rPr>
                <w:rFonts w:ascii="Arial" w:hAnsi="Arial"/>
                <w:sz w:val="18"/>
              </w:rPr>
              <w:t>Magirusstraße 28, Ulm</w:t>
            </w:r>
          </w:p>
        </w:tc>
      </w:tr>
      <w:tr>
        <w:tc>
          <w:tcPr>
            <w:tcW w:type="dxa" w:w="1928"/>
            <w:vAlign w:val="top"/>
          </w:tcPr>
          <w:p>
            <w:pPr>
              <w:spacing w:after="20"/>
            </w:pPr>
            <w:r>
              <w:rPr>
                <w:rFonts w:ascii="Arial" w:hAnsi="Arial"/>
                <w:b/>
                <w:color w:val="5C6266"/>
                <w:sz w:val="17"/>
              </w:rPr>
              <w:t>Protokoll</w:t>
            </w:r>
          </w:p>
        </w:tc>
        <w:tc>
          <w:tcPr>
            <w:tcW w:type="dxa" w:w="7313"/>
            <w:vAlign w:val="top"/>
          </w:tcPr>
          <w:p>
            <w:pPr>
              <w:spacing w:after="20"/>
            </w:pPr>
            <w:r>
              <w:rPr>
                <w:rFonts w:ascii="Arial" w:hAnsi="Arial"/>
                <w:sz w:val="18"/>
              </w:rPr>
              <w:t>Rechtsanwältin Lea Konrad</w:t>
            </w:r>
          </w:p>
        </w:tc>
      </w:tr>
    </w:tbl>
    <w:p>
      <w:pPr>
        <w:spacing w:after="40"/>
      </w:pPr>
    </w:p>
    <w:p>
      <w:pPr>
        <w:pStyle w:val="Heading1"/>
      </w:pPr>
      <w:r>
        <w:t>1. Anwesenheit</w:t>
      </w:r>
    </w:p>
    <w:p>
      <w:pPr>
        <w:widowControl/>
        <w:jc w:val="both"/>
      </w:pPr>
      <w:r>
        <w:t>Viktor Brenner ist persönlich anwesend. Für die Familienkontor Brenner KG nimmt Komplementärin Helene Brenner teil. Dr. Anna Brenner ist mit Rechtsanwalt Dr. Malte Rupp anwesend. Sämtliche Geschäftsanteile sind vertreten. Notarin Dr. Cora Mertens nimmt ab 15:35 Uhr für die Beurkundung der Kapitalmaßnahme teil.</w:t>
      </w:r>
    </w:p>
    <w:p>
      <w:pPr>
        <w:pStyle w:val="Heading1"/>
      </w:pPr>
      <w:r>
        <w:t>2. Bericht zur Lage</w:t>
      </w:r>
    </w:p>
    <w:p>
      <w:pPr>
        <w:widowControl/>
        <w:jc w:val="both"/>
      </w:pPr>
      <w:r>
        <w:t>Viktor Brenner erläutert den offenen NordRail-Zahlungseingang und die Kreditauflage. Dr. Anna Brenner verlangt die Debitorenliste, den Vertrag mit NordRail, die Korrespondenz mit den Banken und eine Erläuterung, warum die Kapitalerhöhung innerhalb von sechs Tagen vollständig eingezahlt werden müsse. Ihr wird Einsicht in den Datenraum angeboten; die Debitorenliste sei dort nur ohne Einzelkundenpreise vorhanden.</w:t>
      </w:r>
    </w:p>
    <w:p>
      <w:pPr>
        <w:pStyle w:val="Heading1"/>
      </w:pPr>
      <w:r>
        <w:t>3. Kapitalerhöhung</w:t>
      </w:r>
    </w:p>
    <w:p>
      <w:pPr>
        <w:widowControl/>
        <w:jc w:val="both"/>
      </w:pPr>
      <w:r>
        <w:t>Viktor Brenner und Helene Brenner stimmen für die Erhöhung des Stammkapitals auf 2000000 EUR. Dr. Anna Brenner stimmt dagegen und erklärt Widerspruch zur Niederschrift. Sie beantragt eine Bezugsfrist bis 30.06.2026 und die Zulassung einer anteiligen Übernahme. Der Versammlungsleiter stellt fest, die Familienkontor Brenner KG sei zur Übernahme der gesamten Erhöhung zugelassen. Über den Verlängerungsantrag wird nach kurzer Unterbrechung nicht gesondert abgestimmt.</w:t>
      </w:r>
    </w:p>
    <w:p>
      <w:pPr>
        <w:pStyle w:val="Heading1"/>
      </w:pPr>
      <w:r>
        <w:t>4. Lagervertrag</w:t>
      </w:r>
    </w:p>
    <w:p>
      <w:pPr>
        <w:widowControl/>
        <w:jc w:val="both"/>
      </w:pPr>
      <w:r>
        <w:t>Viktor Brenner erklärt vor der Abstimmung, alleiniger Gesellschafter der VB Industriepark GmbH zu sein. Dr. Rupp beantragt, sein Stimmrecht bei Tagesordnungspunkt 4 nicht zu berücksichtigen. Der Versammlungsleiter lässt Viktor Brenner abstimmen und stellt 65 Prozent Zustimmung sowie 35 Prozent Gegenstimmen fest. Das Verkehrswertgutachten liegt noch nicht vor; der Vertragsentwurf nennt eine Jahresmiete von 486000 EUR und zehn Jahre feste Laufzeit.</w:t>
      </w:r>
    </w:p>
    <w:p>
      <w:pPr>
        <w:pStyle w:val="Heading1"/>
      </w:pPr>
      <w:r>
        <w:t>5. Nachbemerkungen</w:t>
      </w:r>
    </w:p>
    <w:p>
      <w:pPr>
        <w:widowControl/>
        <w:jc w:val="both"/>
      </w:pPr>
      <w:r>
        <w:t>Dr. Anna Brenner verlangt eine Abschrift der Niederschrift, sämtliche Abstimmungsergebnisse und die Beurkundungsunterlagen. Um 17:11 Uhr erklärt Notarin Dr. Mertens, die Anmeldung werde erst nach Eingang der Übernahmeerklärung und der Geschäftsführerbestätigung vorbereitet.</w:t>
      </w:r>
    </w:p>
    <w:p/>
    <w:p>
      <w:r>
        <w:rPr>
          <w:b/>
        </w:rPr>
        <w:t>Lea Konrad</w:t>
      </w:r>
    </w:p>
    <w:p>
      <w:r>
        <w:t>Protokollführerin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Brenner Präzisionsguss GmbH  |  Gesellschafterversammlung · Niederschrift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Brenner Präzisionsguss GmbH</w:t>
          </w:r>
          <w:r>
            <w:rPr>
              <w:rFonts w:ascii="Arial" w:hAnsi="Arial"/>
              <w:color w:val="5C6266"/>
              <w:sz w:val="17"/>
            </w:rPr>
            <w:br/>
            <w:t>Gesellschafterversammlung · Niederschrift</w:t>
          </w:r>
        </w:p>
      </w:tc>
      <w:tc>
        <w:tcPr>
          <w:tcW w:type="dxa" w:w="3742"/>
        </w:tcPr>
        <w:p>
          <w:pPr>
            <w:spacing w:after="0"/>
            <w:jc w:val="right"/>
          </w:pPr>
          <w:r>
            <w:rPr>
              <w:rFonts w:ascii="Arial" w:hAnsi="Arial"/>
              <w:color w:val="5C6266"/>
              <w:sz w:val="15"/>
            </w:rPr>
            <w:t>Magirusstraße 28 · 89077 Ulm</w:t>
            <w:br/>
            <w:t>Telefon 0731 509 60 · gesellschaft@brenner-guss.de</w:t>
            <w:br/>
            <w:t>HRB 728441 Amtsgericht Ulm · Stammkapital 500000 EUR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