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Leistungsnachweis Fall 260112-88341</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Erstellt</w:t>
            </w:r>
          </w:p>
        </w:tc>
        <w:tc>
          <w:tcPr>
            <w:tcW w:type="dxa" w:w="7313"/>
            <w:vAlign w:val="top"/>
          </w:tcPr>
          <w:p>
            <w:pPr>
              <w:spacing w:after="20"/>
            </w:pPr>
            <w:r>
              <w:rPr>
                <w:rFonts w:ascii="Arial" w:hAnsi="Arial"/>
                <w:sz w:val="18"/>
              </w:rPr>
              <w:t>10.02.2026, 15:20 Uhr</w:t>
            </w:r>
          </w:p>
        </w:tc>
      </w:tr>
      <w:tr>
        <w:tc>
          <w:tcPr>
            <w:tcW w:type="dxa" w:w="1928"/>
            <w:vAlign w:val="top"/>
          </w:tcPr>
          <w:p>
            <w:pPr>
              <w:spacing w:after="20"/>
            </w:pPr>
            <w:r>
              <w:rPr>
                <w:rFonts w:ascii="Arial" w:hAnsi="Arial"/>
                <w:b/>
                <w:color w:val="5C6266"/>
                <w:sz w:val="17"/>
              </w:rPr>
              <w:t>Kodierfachkraft</w:t>
            </w:r>
          </w:p>
        </w:tc>
        <w:tc>
          <w:tcPr>
            <w:tcW w:type="dxa" w:w="7313"/>
            <w:vAlign w:val="top"/>
          </w:tcPr>
          <w:p>
            <w:pPr>
              <w:spacing w:after="20"/>
            </w:pPr>
            <w:r>
              <w:rPr>
                <w:rFonts w:ascii="Arial" w:hAnsi="Arial"/>
                <w:sz w:val="18"/>
              </w:rPr>
              <w:t>Sabine Lodemann</w:t>
            </w:r>
          </w:p>
        </w:tc>
      </w:tr>
      <w:tr>
        <w:tc>
          <w:tcPr>
            <w:tcW w:type="dxa" w:w="1928"/>
            <w:vAlign w:val="top"/>
          </w:tcPr>
          <w:p>
            <w:pPr>
              <w:spacing w:after="20"/>
            </w:pPr>
            <w:r>
              <w:rPr>
                <w:rFonts w:ascii="Arial" w:hAnsi="Arial"/>
                <w:b/>
                <w:color w:val="5C6266"/>
                <w:sz w:val="17"/>
              </w:rPr>
              <w:t>Abrechnungsstand</w:t>
            </w:r>
          </w:p>
        </w:tc>
        <w:tc>
          <w:tcPr>
            <w:tcW w:type="dxa" w:w="7313"/>
            <w:vAlign w:val="top"/>
          </w:tcPr>
          <w:p>
            <w:pPr>
              <w:spacing w:after="20"/>
            </w:pPr>
            <w:r>
              <w:rPr>
                <w:rFonts w:ascii="Arial" w:hAnsi="Arial"/>
                <w:sz w:val="18"/>
              </w:rPr>
              <w:t>Version 3 nach Freigabe Medizincontrolling</w:t>
            </w:r>
          </w:p>
        </w:tc>
      </w:tr>
      <w:tr>
        <w:tc>
          <w:tcPr>
            <w:tcW w:type="dxa" w:w="1928"/>
            <w:vAlign w:val="top"/>
          </w:tcPr>
          <w:p>
            <w:pPr>
              <w:spacing w:after="20"/>
            </w:pPr>
            <w:r>
              <w:rPr>
                <w:rFonts w:ascii="Arial" w:hAnsi="Arial"/>
                <w:b/>
                <w:color w:val="5C6266"/>
                <w:sz w:val="17"/>
              </w:rPr>
              <w:t>OPS-Gruppe</w:t>
            </w:r>
          </w:p>
        </w:tc>
        <w:tc>
          <w:tcPr>
            <w:tcW w:type="dxa" w:w="7313"/>
            <w:vAlign w:val="top"/>
          </w:tcPr>
          <w:p>
            <w:pPr>
              <w:spacing w:after="20"/>
            </w:pPr>
            <w:r>
              <w:rPr>
                <w:rFonts w:ascii="Arial" w:hAnsi="Arial"/>
                <w:sz w:val="18"/>
              </w:rPr>
              <w:t>8-98f, Aufwandspunkte aus SAPS II und TISS</w:t>
            </w:r>
          </w:p>
        </w:tc>
      </w:tr>
    </w:tbl>
    <w:p>
      <w:pPr>
        <w:spacing w:after="40"/>
      </w:pPr>
    </w:p>
    <w:p>
      <w:pPr>
        <w:pStyle w:val="Heading1"/>
      </w:pPr>
      <w:r>
        <w:t>1. Behandlungsorganisation</w:t>
      </w:r>
    </w:p>
    <w:p>
      <w:pPr>
        <w:widowControl/>
        <w:jc w:val="both"/>
      </w:pPr>
      <w:r>
        <w:t>Die Station ITS 2 verfügt über zwölf Betten. Die ärztliche Behandlungsleitung lag bei Prof. Dr. Marius Birkner und vom 19.01. bis 23.01. bei Dr. Leonie Tesch. Die Dienstpläne weisen in diesem Zeitraum rund um die Uhr einen auf der Station eingesetzten Arzt aus. Am 24.01. war Dr. Tesch von 09:05 bis 10:14 Uhr bei einer Reanimation auf Station B2; Assistenzarzt Dr. Pohl blieb auf ITS 2.</w:t>
      </w:r>
    </w:p>
    <w:p>
      <w:pPr>
        <w:pStyle w:val="Heading1"/>
      </w:pPr>
      <w:r>
        <w:t>2. Dokumentationsabweichungen</w:t>
      </w:r>
    </w:p>
    <w:p>
      <w:pPr>
        <w:widowControl/>
        <w:jc w:val="both"/>
      </w:pPr>
      <w:r>
        <w:t>Für den 17.01. liegt im Datenexport kein finaler Freigabestatus vor, obwohl der Papierbogen Werte und Handzeichen enthält. Für den 22.01. ist die Dialyseleistung durch einen Korrektureintrag vom 23.01. ergänzt. Die ursprüngliche und die korrigierte Version sind im Archiv erhalten. In der Pflegeplanung des Nachtdienstes 16./17.01. fehlt die zweite Gegenzeichnung für die Lagerungsmaßnahme.</w:t>
      </w:r>
    </w:p>
    <w:p>
      <w:pPr>
        <w:pStyle w:val="Heading1"/>
      </w:pPr>
      <w:r>
        <w:t>3. Abrechnung</w:t>
      </w:r>
    </w:p>
    <w:p>
      <w:pPr>
        <w:widowControl/>
        <w:jc w:val="both"/>
      </w:pPr>
      <w:r>
        <w:t>Die Summe des Klinikexports beträgt 1246 Aufwandspunkte. Ohne den 17.01. und ohne den korrigierten Dialyseeintrag ergäben sich 1038 Punkte. Die Gruppierung führte zusammen mit den Beatmungs- und Operationsdaten zu einem Rechnungsbetrag von 132488.17 EUR einschließlich Pflegeentgelt. Die Krankenkasse zahlte zunächst unter Vorbehalt.</w:t>
      </w:r>
    </w:p>
    <w:p>
      <w:pPr>
        <w:pStyle w:val="Heading1"/>
      </w:pPr>
      <w:r>
        <w:t>4. Tageswerte</w:t>
      </w:r>
    </w:p>
    <w:tbl>
      <w:tblPr>
        <w:tblStyle w:val="TableGrid"/>
        <w:tblW w:type="auto" w:w="0"/>
        <w:jc w:val="left"/>
        <w:tblLayout w:type="fixed"/>
        <w:tblLook w:firstColumn="1" w:firstRow="1" w:lastColumn="0" w:lastRow="0" w:noHBand="0" w:noVBand="1" w:val="04A0"/>
      </w:tblPr>
      <w:tblGrid>
        <w:gridCol w:w="1848"/>
        <w:gridCol w:w="1848"/>
        <w:gridCol w:w="1848"/>
        <w:gridCol w:w="1848"/>
        <w:gridCol w:w="1848"/>
      </w:tblGrid>
      <w:tr>
        <w:trPr>
          <w:tblHeader w:val="true"/>
        </w:trPr>
        <w:tc>
          <w:tcPr>
            <w:tcW w:type="dxa" w:w="1531"/>
            <w:shd w:fill="E8EEF1"/>
          </w:tcPr>
          <w:p>
            <w:pPr>
              <w:spacing w:after="20"/>
            </w:pPr>
            <w:r>
              <w:rPr>
                <w:rFonts w:ascii="Arial" w:hAnsi="Arial"/>
                <w:b/>
                <w:sz w:val="17"/>
              </w:rPr>
              <w:t>Datum</w:t>
            </w:r>
          </w:p>
        </w:tc>
        <w:tc>
          <w:tcPr>
            <w:tcW w:type="dxa" w:w="1531"/>
            <w:shd w:fill="E8EEF1"/>
          </w:tcPr>
          <w:p>
            <w:pPr>
              <w:spacing w:after="20"/>
            </w:pPr>
            <w:r>
              <w:rPr>
                <w:rFonts w:ascii="Arial" w:hAnsi="Arial"/>
                <w:b/>
                <w:sz w:val="17"/>
              </w:rPr>
              <w:t>SAPS II</w:t>
            </w:r>
          </w:p>
        </w:tc>
        <w:tc>
          <w:tcPr>
            <w:tcW w:type="dxa" w:w="1531"/>
            <w:shd w:fill="E8EEF1"/>
          </w:tcPr>
          <w:p>
            <w:pPr>
              <w:spacing w:after="20"/>
            </w:pPr>
            <w:r>
              <w:rPr>
                <w:rFonts w:ascii="Arial" w:hAnsi="Arial"/>
                <w:b/>
                <w:sz w:val="17"/>
              </w:rPr>
              <w:t>TISS</w:t>
            </w:r>
          </w:p>
        </w:tc>
        <w:tc>
          <w:tcPr>
            <w:tcW w:type="dxa" w:w="1531"/>
            <w:shd w:fill="E8EEF1"/>
          </w:tcPr>
          <w:p>
            <w:pPr>
              <w:spacing w:after="20"/>
            </w:pPr>
            <w:r>
              <w:rPr>
                <w:rFonts w:ascii="Arial" w:hAnsi="Arial"/>
                <w:b/>
                <w:sz w:val="17"/>
              </w:rPr>
              <w:t>Summe</w:t>
            </w:r>
          </w:p>
        </w:tc>
        <w:tc>
          <w:tcPr>
            <w:tcW w:type="dxa" w:w="2835"/>
            <w:shd w:fill="E8EEF1"/>
          </w:tcPr>
          <w:p>
            <w:pPr>
              <w:spacing w:after="20"/>
            </w:pPr>
            <w:r>
              <w:rPr>
                <w:rFonts w:ascii="Arial" w:hAnsi="Arial"/>
                <w:b/>
                <w:sz w:val="17"/>
              </w:rPr>
              <w:t>Freigabe</w:t>
            </w:r>
          </w:p>
        </w:tc>
      </w:tr>
      <w:tr>
        <w:tc>
          <w:tcPr>
            <w:tcW w:type="dxa" w:w="1531"/>
            <w:vAlign w:val="top"/>
          </w:tcPr>
          <w:p>
            <w:pPr>
              <w:spacing w:after="20"/>
            </w:pPr>
            <w:r>
              <w:rPr>
                <w:rFonts w:ascii="Times New Roman" w:hAnsi="Times New Roman"/>
                <w:sz w:val="18"/>
              </w:rPr>
              <w:t>12.01.</w:t>
            </w:r>
          </w:p>
        </w:tc>
        <w:tc>
          <w:tcPr>
            <w:tcW w:type="dxa" w:w="1531"/>
            <w:vAlign w:val="top"/>
          </w:tcPr>
          <w:p>
            <w:pPr>
              <w:spacing w:after="20"/>
            </w:pPr>
            <w:r>
              <w:rPr>
                <w:rFonts w:ascii="Times New Roman" w:hAnsi="Times New Roman"/>
                <w:sz w:val="18"/>
              </w:rPr>
              <w:t>41</w:t>
            </w:r>
          </w:p>
        </w:tc>
        <w:tc>
          <w:tcPr>
            <w:tcW w:type="dxa" w:w="1531"/>
            <w:vAlign w:val="top"/>
          </w:tcPr>
          <w:p>
            <w:pPr>
              <w:spacing w:after="20"/>
            </w:pPr>
            <w:r>
              <w:rPr>
                <w:rFonts w:ascii="Times New Roman" w:hAnsi="Times New Roman"/>
                <w:sz w:val="18"/>
              </w:rPr>
              <w:t>32</w:t>
            </w:r>
          </w:p>
        </w:tc>
        <w:tc>
          <w:tcPr>
            <w:tcW w:type="dxa" w:w="1531"/>
            <w:vAlign w:val="top"/>
          </w:tcPr>
          <w:p>
            <w:pPr>
              <w:spacing w:after="20"/>
            </w:pPr>
            <w:r>
              <w:rPr>
                <w:rFonts w:ascii="Times New Roman" w:hAnsi="Times New Roman"/>
                <w:sz w:val="18"/>
              </w:rPr>
              <w:t>73</w:t>
            </w:r>
          </w:p>
        </w:tc>
        <w:tc>
          <w:tcPr>
            <w:tcW w:type="dxa" w:w="2835"/>
            <w:vAlign w:val="top"/>
          </w:tcPr>
          <w:p>
            <w:pPr>
              <w:spacing w:after="20"/>
            </w:pPr>
            <w:r>
              <w:rPr>
                <w:rFonts w:ascii="Times New Roman" w:hAnsi="Times New Roman"/>
                <w:sz w:val="18"/>
              </w:rPr>
              <w:t>signiert</w:t>
            </w:r>
          </w:p>
        </w:tc>
      </w:tr>
      <w:tr>
        <w:tc>
          <w:tcPr>
            <w:tcW w:type="dxa" w:w="1531"/>
            <w:vAlign w:val="top"/>
          </w:tcPr>
          <w:p>
            <w:pPr>
              <w:spacing w:after="20"/>
            </w:pPr>
            <w:r>
              <w:rPr>
                <w:rFonts w:ascii="Times New Roman" w:hAnsi="Times New Roman"/>
                <w:sz w:val="18"/>
              </w:rPr>
              <w:t>13.01.</w:t>
            </w:r>
          </w:p>
        </w:tc>
        <w:tc>
          <w:tcPr>
            <w:tcW w:type="dxa" w:w="1531"/>
            <w:vAlign w:val="top"/>
          </w:tcPr>
          <w:p>
            <w:pPr>
              <w:spacing w:after="20"/>
            </w:pPr>
            <w:r>
              <w:rPr>
                <w:rFonts w:ascii="Times New Roman" w:hAnsi="Times New Roman"/>
                <w:sz w:val="18"/>
              </w:rPr>
              <w:t>44</w:t>
            </w:r>
          </w:p>
        </w:tc>
        <w:tc>
          <w:tcPr>
            <w:tcW w:type="dxa" w:w="1531"/>
            <w:vAlign w:val="top"/>
          </w:tcPr>
          <w:p>
            <w:pPr>
              <w:spacing w:after="20"/>
            </w:pPr>
            <w:r>
              <w:rPr>
                <w:rFonts w:ascii="Times New Roman" w:hAnsi="Times New Roman"/>
                <w:sz w:val="18"/>
              </w:rPr>
              <w:t>38</w:t>
            </w:r>
          </w:p>
        </w:tc>
        <w:tc>
          <w:tcPr>
            <w:tcW w:type="dxa" w:w="1531"/>
            <w:vAlign w:val="top"/>
          </w:tcPr>
          <w:p>
            <w:pPr>
              <w:spacing w:after="20"/>
            </w:pPr>
            <w:r>
              <w:rPr>
                <w:rFonts w:ascii="Times New Roman" w:hAnsi="Times New Roman"/>
                <w:sz w:val="18"/>
              </w:rPr>
              <w:t>82</w:t>
            </w:r>
          </w:p>
        </w:tc>
        <w:tc>
          <w:tcPr>
            <w:tcW w:type="dxa" w:w="2835"/>
            <w:vAlign w:val="top"/>
          </w:tcPr>
          <w:p>
            <w:pPr>
              <w:spacing w:after="20"/>
            </w:pPr>
            <w:r>
              <w:rPr>
                <w:rFonts w:ascii="Times New Roman" w:hAnsi="Times New Roman"/>
                <w:sz w:val="18"/>
              </w:rPr>
              <w:t>signiert</w:t>
            </w:r>
          </w:p>
        </w:tc>
      </w:tr>
      <w:tr>
        <w:tc>
          <w:tcPr>
            <w:tcW w:type="dxa" w:w="1531"/>
            <w:vAlign w:val="top"/>
          </w:tcPr>
          <w:p>
            <w:pPr>
              <w:spacing w:after="20"/>
            </w:pPr>
            <w:r>
              <w:rPr>
                <w:rFonts w:ascii="Times New Roman" w:hAnsi="Times New Roman"/>
                <w:sz w:val="18"/>
              </w:rPr>
              <w:t>17.01.</w:t>
            </w:r>
          </w:p>
        </w:tc>
        <w:tc>
          <w:tcPr>
            <w:tcW w:type="dxa" w:w="1531"/>
            <w:vAlign w:val="top"/>
          </w:tcPr>
          <w:p>
            <w:pPr>
              <w:spacing w:after="20"/>
            </w:pPr>
            <w:r>
              <w:rPr>
                <w:rFonts w:ascii="Times New Roman" w:hAnsi="Times New Roman"/>
                <w:sz w:val="18"/>
              </w:rPr>
              <w:t>36</w:t>
            </w:r>
          </w:p>
        </w:tc>
        <w:tc>
          <w:tcPr>
            <w:tcW w:type="dxa" w:w="1531"/>
            <w:vAlign w:val="top"/>
          </w:tcPr>
          <w:p>
            <w:pPr>
              <w:spacing w:after="20"/>
            </w:pPr>
            <w:r>
              <w:rPr>
                <w:rFonts w:ascii="Times New Roman" w:hAnsi="Times New Roman"/>
                <w:sz w:val="18"/>
              </w:rPr>
              <w:t>29</w:t>
            </w:r>
          </w:p>
        </w:tc>
        <w:tc>
          <w:tcPr>
            <w:tcW w:type="dxa" w:w="1531"/>
            <w:vAlign w:val="top"/>
          </w:tcPr>
          <w:p>
            <w:pPr>
              <w:spacing w:after="20"/>
            </w:pPr>
            <w:r>
              <w:rPr>
                <w:rFonts w:ascii="Times New Roman" w:hAnsi="Times New Roman"/>
                <w:sz w:val="18"/>
              </w:rPr>
              <w:t>65</w:t>
            </w:r>
          </w:p>
        </w:tc>
        <w:tc>
          <w:tcPr>
            <w:tcW w:type="dxa" w:w="2835"/>
            <w:vAlign w:val="top"/>
          </w:tcPr>
          <w:p>
            <w:pPr>
              <w:spacing w:after="20"/>
            </w:pPr>
            <w:r>
              <w:rPr>
                <w:rFonts w:ascii="Times New Roman" w:hAnsi="Times New Roman"/>
                <w:sz w:val="18"/>
              </w:rPr>
              <w:t>Papierbogen</w:t>
            </w:r>
          </w:p>
        </w:tc>
      </w:tr>
      <w:tr>
        <w:tc>
          <w:tcPr>
            <w:tcW w:type="dxa" w:w="1531"/>
            <w:vAlign w:val="top"/>
          </w:tcPr>
          <w:p>
            <w:pPr>
              <w:spacing w:after="20"/>
            </w:pPr>
            <w:r>
              <w:rPr>
                <w:rFonts w:ascii="Times New Roman" w:hAnsi="Times New Roman"/>
                <w:sz w:val="18"/>
              </w:rPr>
              <w:t>22.01.</w:t>
            </w:r>
          </w:p>
        </w:tc>
        <w:tc>
          <w:tcPr>
            <w:tcW w:type="dxa" w:w="1531"/>
            <w:vAlign w:val="top"/>
          </w:tcPr>
          <w:p>
            <w:pPr>
              <w:spacing w:after="20"/>
            </w:pPr>
            <w:r>
              <w:rPr>
                <w:rFonts w:ascii="Times New Roman" w:hAnsi="Times New Roman"/>
                <w:sz w:val="18"/>
              </w:rPr>
              <w:t>39</w:t>
            </w:r>
          </w:p>
        </w:tc>
        <w:tc>
          <w:tcPr>
            <w:tcW w:type="dxa" w:w="1531"/>
            <w:vAlign w:val="top"/>
          </w:tcPr>
          <w:p>
            <w:pPr>
              <w:spacing w:after="20"/>
            </w:pPr>
            <w:r>
              <w:rPr>
                <w:rFonts w:ascii="Times New Roman" w:hAnsi="Times New Roman"/>
                <w:sz w:val="18"/>
              </w:rPr>
              <w:t>37</w:t>
            </w:r>
          </w:p>
        </w:tc>
        <w:tc>
          <w:tcPr>
            <w:tcW w:type="dxa" w:w="1531"/>
            <w:vAlign w:val="top"/>
          </w:tcPr>
          <w:p>
            <w:pPr>
              <w:spacing w:after="20"/>
            </w:pPr>
            <w:r>
              <w:rPr>
                <w:rFonts w:ascii="Times New Roman" w:hAnsi="Times New Roman"/>
                <w:sz w:val="18"/>
              </w:rPr>
              <w:t>76</w:t>
            </w:r>
          </w:p>
        </w:tc>
        <w:tc>
          <w:tcPr>
            <w:tcW w:type="dxa" w:w="2835"/>
            <w:vAlign w:val="top"/>
          </w:tcPr>
          <w:p>
            <w:pPr>
              <w:spacing w:after="20"/>
            </w:pPr>
            <w:r>
              <w:rPr>
                <w:rFonts w:ascii="Times New Roman" w:hAnsi="Times New Roman"/>
                <w:sz w:val="18"/>
              </w:rPr>
              <w:t>korrigiert</w:t>
            </w:r>
          </w:p>
        </w:tc>
      </w:tr>
      <w:tr>
        <w:tc>
          <w:tcPr>
            <w:tcW w:type="dxa" w:w="1531"/>
            <w:vAlign w:val="top"/>
          </w:tcPr>
          <w:p>
            <w:pPr>
              <w:spacing w:after="20"/>
            </w:pPr>
            <w:r>
              <w:rPr>
                <w:rFonts w:ascii="Times New Roman" w:hAnsi="Times New Roman"/>
                <w:sz w:val="18"/>
              </w:rPr>
              <w:t>28.01.</w:t>
            </w:r>
          </w:p>
        </w:tc>
        <w:tc>
          <w:tcPr>
            <w:tcW w:type="dxa" w:w="1531"/>
            <w:vAlign w:val="top"/>
          </w:tcPr>
          <w:p>
            <w:pPr>
              <w:spacing w:after="20"/>
            </w:pPr>
            <w:r>
              <w:rPr>
                <w:rFonts w:ascii="Times New Roman" w:hAnsi="Times New Roman"/>
                <w:sz w:val="18"/>
              </w:rPr>
              <w:t>18</w:t>
            </w:r>
          </w:p>
        </w:tc>
        <w:tc>
          <w:tcPr>
            <w:tcW w:type="dxa" w:w="1531"/>
            <w:vAlign w:val="top"/>
          </w:tcPr>
          <w:p>
            <w:pPr>
              <w:spacing w:after="20"/>
            </w:pPr>
            <w:r>
              <w:rPr>
                <w:rFonts w:ascii="Times New Roman" w:hAnsi="Times New Roman"/>
                <w:sz w:val="18"/>
              </w:rPr>
              <w:t>14</w:t>
            </w:r>
          </w:p>
        </w:tc>
        <w:tc>
          <w:tcPr>
            <w:tcW w:type="dxa" w:w="1531"/>
            <w:vAlign w:val="top"/>
          </w:tcPr>
          <w:p>
            <w:pPr>
              <w:spacing w:after="20"/>
            </w:pPr>
            <w:r>
              <w:rPr>
                <w:rFonts w:ascii="Times New Roman" w:hAnsi="Times New Roman"/>
                <w:sz w:val="18"/>
              </w:rPr>
              <w:t>32</w:t>
            </w:r>
          </w:p>
        </w:tc>
        <w:tc>
          <w:tcPr>
            <w:tcW w:type="dxa" w:w="2835"/>
            <w:vAlign w:val="top"/>
          </w:tcPr>
          <w:p>
            <w:pPr>
              <w:spacing w:after="20"/>
            </w:pPr>
            <w:r>
              <w:rPr>
                <w:rFonts w:ascii="Times New Roman" w:hAnsi="Times New Roman"/>
                <w:sz w:val="18"/>
              </w:rPr>
              <w:t>signiert</w:t>
            </w:r>
          </w:p>
        </w:tc>
      </w:tr>
    </w:tbl>
    <w:p>
      <w:pPr>
        <w:spacing w:after="20"/>
      </w:pPr>
    </w:p>
    <w:p/>
    <w:p>
      <w:r>
        <w:rPr>
          <w:b/>
        </w:rPr>
        <w:t>Sabine Lodemann</w:t>
      </w:r>
    </w:p>
    <w:p>
      <w:r>
        <w:t>Leitende Kodierfachkraft</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Klinikum Saalebogen gGmbH  |  Medizincontrolling · Fallprüfung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Klinikum Saalebogen gGmbH</w:t>
          </w:r>
          <w:r>
            <w:rPr>
              <w:rFonts w:ascii="Arial" w:hAnsi="Arial"/>
              <w:color w:val="5C6266"/>
              <w:sz w:val="17"/>
            </w:rPr>
            <w:br/>
            <w:t>Medizincontrolling · Fallprüfung</w:t>
          </w:r>
        </w:p>
      </w:tc>
      <w:tc>
        <w:tcPr>
          <w:tcW w:type="dxa" w:w="3742"/>
        </w:tcPr>
        <w:p>
          <w:pPr>
            <w:spacing w:after="0"/>
            <w:jc w:val="right"/>
          </w:pPr>
          <w:r>
            <w:rPr>
              <w:rFonts w:ascii="Arial" w:hAnsi="Arial"/>
              <w:color w:val="5C6266"/>
              <w:sz w:val="15"/>
            </w:rPr>
            <w:t>Merseburger Straße 118 · 06110 Halle (Saale)</w:t>
            <w:br/>
            <w:t>Telefon 0345 728 0 · Fax 0345 728 2299</w:t>
            <w:br/>
            <w:t>post@klinikum-saalebogen.de · IK 261 500 447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