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1C374C"/>
          <w:sz w:val="34"/>
        </w:rPr>
        <w:t>Gutachtliche Stellungnahme nach Aktenlage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Aktenzeichen</w:t>
            </w:r>
          </w:p>
        </w:tc>
        <w:tc>
          <w:tcPr>
            <w:tcW w:type="dxa" w:w="7313"/>
            <w:vAlign w:val="top"/>
          </w:tcPr>
          <w:p>
            <w:pPr>
              <w:spacing w:after="20"/>
            </w:pPr>
            <w:r>
              <w:rPr>
                <w:rFonts w:ascii="Arial" w:hAnsi="Arial"/>
                <w:sz w:val="18"/>
              </w:rPr>
              <w:t>MD-KH 26/18841</w:t>
            </w:r>
          </w:p>
        </w:tc>
      </w:tr>
      <w:tr>
        <w:tc>
          <w:tcPr>
            <w:tcW w:type="dxa" w:w="1928"/>
            <w:vAlign w:val="top"/>
          </w:tcPr>
          <w:p>
            <w:pPr>
              <w:spacing w:after="20"/>
            </w:pPr>
            <w:r>
              <w:rPr>
                <w:rFonts w:ascii="Arial" w:hAnsi="Arial"/>
                <w:b/>
                <w:color w:val="5C6266"/>
                <w:sz w:val="17"/>
              </w:rPr>
              <w:t>Versicherter</w:t>
            </w:r>
          </w:p>
        </w:tc>
        <w:tc>
          <w:tcPr>
            <w:tcW w:type="dxa" w:w="7313"/>
            <w:vAlign w:val="top"/>
          </w:tcPr>
          <w:p>
            <w:pPr>
              <w:spacing w:after="20"/>
            </w:pPr>
            <w:r>
              <w:rPr>
                <w:rFonts w:ascii="Arial" w:hAnsi="Arial"/>
                <w:sz w:val="18"/>
              </w:rPr>
              <w:t>Jochen Wendt, geb. 04.06.1959</w:t>
            </w:r>
          </w:p>
        </w:tc>
      </w:tr>
      <w:tr>
        <w:tc>
          <w:tcPr>
            <w:tcW w:type="dxa" w:w="1928"/>
            <w:vAlign w:val="top"/>
          </w:tcPr>
          <w:p>
            <w:pPr>
              <w:spacing w:after="20"/>
            </w:pPr>
            <w:r>
              <w:rPr>
                <w:rFonts w:ascii="Arial" w:hAnsi="Arial"/>
                <w:b/>
                <w:color w:val="5C6266"/>
                <w:sz w:val="17"/>
              </w:rPr>
              <w:t>Begutachtung</w:t>
            </w:r>
          </w:p>
        </w:tc>
        <w:tc>
          <w:tcPr>
            <w:tcW w:type="dxa" w:w="7313"/>
            <w:vAlign w:val="top"/>
          </w:tcPr>
          <w:p>
            <w:pPr>
              <w:spacing w:after="20"/>
            </w:pPr>
            <w:r>
              <w:rPr>
                <w:rFonts w:ascii="Arial" w:hAnsi="Arial"/>
                <w:sz w:val="18"/>
              </w:rPr>
              <w:t>28.04.2026</w:t>
            </w:r>
          </w:p>
        </w:tc>
      </w:tr>
      <w:tr>
        <w:tc>
          <w:tcPr>
            <w:tcW w:type="dxa" w:w="1928"/>
            <w:vAlign w:val="top"/>
          </w:tcPr>
          <w:p>
            <w:pPr>
              <w:spacing w:after="20"/>
            </w:pPr>
            <w:r>
              <w:rPr>
                <w:rFonts w:ascii="Arial" w:hAnsi="Arial"/>
                <w:b/>
                <w:color w:val="5C6266"/>
                <w:sz w:val="17"/>
              </w:rPr>
              <w:t>Gutachter</w:t>
            </w:r>
          </w:p>
        </w:tc>
        <w:tc>
          <w:tcPr>
            <w:tcW w:type="dxa" w:w="7313"/>
            <w:vAlign w:val="top"/>
          </w:tcPr>
          <w:p>
            <w:pPr>
              <w:spacing w:after="20"/>
            </w:pPr>
            <w:r>
              <w:rPr>
                <w:rFonts w:ascii="Arial" w:hAnsi="Arial"/>
                <w:sz w:val="18"/>
              </w:rPr>
              <w:t>Dr. med. Jasper Rohwedder</w:t>
            </w:r>
          </w:p>
        </w:tc>
      </w:tr>
    </w:tbl>
    <w:p>
      <w:pPr>
        <w:spacing w:after="40"/>
      </w:pPr>
    </w:p>
    <w:p>
      <w:pPr>
        <w:pStyle w:val="Heading1"/>
      </w:pPr>
      <w:r>
        <w:t>1. Auftrag und Material</w:t>
      </w:r>
    </w:p>
    <w:p>
      <w:pPr>
        <w:widowControl/>
        <w:jc w:val="both"/>
      </w:pPr>
      <w:r>
        <w:t>Geprüft wurden Abrechnung, Entlassungsbericht, Intensivkurvenexport, 17 Tagesbögen, Beatmungs- und Dialyseprotokolle, Dienstpläne sowie die vom Krankenhaus am 22.03.2026 übermittelte Versionshistorie. Der Papierbogen für den 17.01.2026 lag als Scan vor. Die Rückseite mit Erläuterungen war im Upload nicht enthalten.</w:t>
      </w:r>
    </w:p>
    <w:p>
      <w:pPr>
        <w:pStyle w:val="Heading1"/>
      </w:pPr>
      <w:r>
        <w:t>2. Medizinischer Verlauf</w:t>
      </w:r>
    </w:p>
    <w:p>
      <w:pPr>
        <w:widowControl/>
        <w:jc w:val="both"/>
      </w:pPr>
      <w:r>
        <w:t>Die intensivmedizinische Behandlungsbedürftigkeit während des streitigen Zeitraums ist anhand der Organunterstützung und der wiederholten Kreislaufinstabilität nachvollziehbar. Die Beatmungszeiten lassen sich aus Geräteexport und Kurve im Wesentlichen abgleichen. Für zwei High-Flow-Intervalle unterscheiden sich die Zeitangaben um jeweils ungefähr 35 Minuten.</w:t>
      </w:r>
    </w:p>
    <w:p>
      <w:pPr>
        <w:pStyle w:val="Heading1"/>
      </w:pPr>
      <w:r>
        <w:t>3. Aufwandspunkte</w:t>
      </w:r>
    </w:p>
    <w:p>
      <w:pPr>
        <w:widowControl/>
        <w:jc w:val="both"/>
      </w:pPr>
      <w:r>
        <w:t>Die elektronisch signierten Tageswerte sind rechnerisch nachvollziehbar. Für den 17.01. fehlt die Rückseite des Papierbogens; die dort angesetzten 65 Punkte können aus dem übrigen Export nicht vollständig rekonstruiert werden. Beim 22.01. ist der Korrektureintrag technisch nachvollziehbar, die medizinische Begründung nennt jedoch keine Uhrzeit der Dialyseaufnahme.</w:t>
      </w:r>
    </w:p>
    <w:p>
      <w:pPr>
        <w:pStyle w:val="Heading1"/>
      </w:pPr>
      <w:r>
        <w:t>4. Behandlungsleitung</w:t>
      </w:r>
    </w:p>
    <w:p>
      <w:pPr>
        <w:widowControl/>
        <w:jc w:val="both"/>
      </w:pPr>
      <w:r>
        <w:t>Die Dienstpläne benennen Prof. Dr. Birkner und Dr. Tesch. Für den 24.01. ist eine Abwesenheit von 69 Minuten wegen eines Reanimationseinsatzes dokumentiert. Ob und wie die Verantwortung während dieses Einsatzes organisatorisch fortgeführt wurde, ergibt sich aus der vorgelegten Organisationsanweisung nur teilweise.</w:t>
      </w:r>
    </w:p>
    <w:p>
      <w:pPr>
        <w:pStyle w:val="Heading1"/>
      </w:pPr>
      <w:r>
        <w:t>5. Mitteilung an die Krankenkasse</w:t>
      </w:r>
    </w:p>
    <w:p>
      <w:pPr>
        <w:widowControl/>
        <w:jc w:val="both"/>
      </w:pPr>
      <w:r>
        <w:t>Die abschließende sozialmedizinische Beurteilung wird der beauftragenden Krankenkasse im vorgesehenen elektronischen Datensatz übermittelt. Dieses Exemplar dokumentiert die tatsächlichen Feststellungen und die verbliebenen Dokumentationslücken.</w:t>
      </w:r>
    </w:p>
    <w:p/>
    <w:p>
      <w:r>
        <w:rPr>
          <w:b/>
        </w:rPr>
        <w:t>Dr. med. Jasper Rohwedder</w:t>
      </w:r>
    </w:p>
    <w:p>
      <w:r>
        <w:t>Facharzt für Anästhesiologie · Sozialmedizin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Medizinischer Dienst Sachsen-Anhalt  |  Fachbereich Krankenhaus · Prüfteam Süd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Medizinischer Dienst Sachsen-Anhalt</w:t>
          </w:r>
          <w:r>
            <w:rPr>
              <w:rFonts w:ascii="Arial" w:hAnsi="Arial"/>
              <w:color w:val="5C6266"/>
              <w:sz w:val="17"/>
            </w:rPr>
            <w:br/>
            <w:t>Fachbereich Krankenhaus · Prüfteam Süd</w:t>
          </w:r>
        </w:p>
      </w:tc>
      <w:tc>
        <w:tcPr>
          <w:tcW w:type="dxa" w:w="3742"/>
        </w:tcPr>
        <w:p>
          <w:pPr>
            <w:spacing w:after="0"/>
            <w:jc w:val="right"/>
          </w:pPr>
          <w:r>
            <w:rPr>
              <w:rFonts w:ascii="Arial" w:hAnsi="Arial"/>
              <w:color w:val="5C6266"/>
              <w:sz w:val="15"/>
            </w:rPr>
            <w:t>Breiter Weg 16 · 39104 Magdeburg</w:t>
            <w:br/>
            <w:t>Telefon 0391 5661 0 · kh-pruefung@md-san.de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