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Unabhängigkeitserklärung und Konfliktabfrage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Mandant</w:t>
            </w:r>
          </w:p>
        </w:tc>
        <w:tc>
          <w:tcPr>
            <w:tcW w:type="dxa" w:w="7313"/>
            <w:vAlign w:val="top"/>
          </w:tcPr>
          <w:p>
            <w:pPr>
              <w:spacing w:after="20"/>
            </w:pPr>
            <w:r>
              <w:rPr>
                <w:rFonts w:ascii="Arial" w:hAnsi="Arial"/>
                <w:sz w:val="18"/>
              </w:rPr>
              <w:t>Nordwerft Energieanlagen AG</w:t>
            </w:r>
          </w:p>
        </w:tc>
      </w:tr>
      <w:tr>
        <w:tc>
          <w:tcPr>
            <w:tcW w:type="dxa" w:w="1928"/>
            <w:vAlign w:val="top"/>
          </w:tcPr>
          <w:p>
            <w:pPr>
              <w:spacing w:after="20"/>
            </w:pPr>
            <w:r>
              <w:rPr>
                <w:rFonts w:ascii="Arial" w:hAnsi="Arial"/>
                <w:b/>
                <w:color w:val="5C6266"/>
                <w:sz w:val="17"/>
              </w:rPr>
              <w:t>Prüfungszeitraum</w:t>
            </w:r>
          </w:p>
        </w:tc>
        <w:tc>
          <w:tcPr>
            <w:tcW w:type="dxa" w:w="7313"/>
            <w:vAlign w:val="top"/>
          </w:tcPr>
          <w:p>
            <w:pPr>
              <w:spacing w:after="20"/>
            </w:pPr>
            <w:r>
              <w:rPr>
                <w:rFonts w:ascii="Arial" w:hAnsi="Arial"/>
                <w:sz w:val="18"/>
              </w:rPr>
              <w:t>Geschäftsjahr 2025</w:t>
            </w:r>
          </w:p>
        </w:tc>
      </w:tr>
      <w:tr>
        <w:tc>
          <w:tcPr>
            <w:tcW w:type="dxa" w:w="1928"/>
            <w:vAlign w:val="top"/>
          </w:tcPr>
          <w:p>
            <w:pPr>
              <w:spacing w:after="20"/>
            </w:pPr>
            <w:r>
              <w:rPr>
                <w:rFonts w:ascii="Arial" w:hAnsi="Arial"/>
                <w:b/>
                <w:color w:val="5C6266"/>
                <w:sz w:val="17"/>
              </w:rPr>
              <w:t>Abfrage geschlossen</w:t>
            </w:r>
          </w:p>
        </w:tc>
        <w:tc>
          <w:tcPr>
            <w:tcW w:type="dxa" w:w="7313"/>
            <w:vAlign w:val="top"/>
          </w:tcPr>
          <w:p>
            <w:pPr>
              <w:spacing w:after="20"/>
            </w:pPr>
            <w:r>
              <w:rPr>
                <w:rFonts w:ascii="Arial" w:hAnsi="Arial"/>
                <w:sz w:val="18"/>
              </w:rPr>
              <w:t>29.08.2025</w:t>
            </w:r>
          </w:p>
        </w:tc>
      </w:tr>
      <w:tr>
        <w:tc>
          <w:tcPr>
            <w:tcW w:type="dxa" w:w="1928"/>
            <w:vAlign w:val="top"/>
          </w:tcPr>
          <w:p>
            <w:pPr>
              <w:spacing w:after="20"/>
            </w:pPr>
            <w:r>
              <w:rPr>
                <w:rFonts w:ascii="Arial" w:hAnsi="Arial"/>
                <w:b/>
                <w:color w:val="5C6266"/>
                <w:sz w:val="17"/>
              </w:rPr>
              <w:t>Fall-ID</w:t>
            </w:r>
          </w:p>
        </w:tc>
        <w:tc>
          <w:tcPr>
            <w:tcW w:type="dxa" w:w="7313"/>
            <w:vAlign w:val="top"/>
          </w:tcPr>
          <w:p>
            <w:pPr>
              <w:spacing w:after="20"/>
            </w:pPr>
            <w:r>
              <w:rPr>
                <w:rFonts w:ascii="Arial" w:hAnsi="Arial"/>
                <w:sz w:val="18"/>
              </w:rPr>
              <w:t>IND-25-4471</w:t>
            </w:r>
          </w:p>
        </w:tc>
      </w:tr>
    </w:tbl>
    <w:p>
      <w:pPr>
        <w:spacing w:after="40"/>
      </w:pPr>
    </w:p>
    <w:p>
      <w:pPr>
        <w:pStyle w:val="Heading1"/>
      </w:pPr>
      <w:r>
        <w:t>1. Netzwerkabfrage</w:t>
      </w:r>
    </w:p>
    <w:p>
      <w:pPr>
        <w:widowControl/>
        <w:jc w:val="both"/>
      </w:pPr>
      <w:r>
        <w:t>Die elektronische Konfliktabfrage wurde an 184 Partner und Direktoren des deutschen Netzwerks versandt. 181 Antworten gingen bis zum Stichtag ein; drei Antworten wurden am 02.09.2025 nachgeholt. Die Netzwerkgesellschaft Hanseatic Advisory GmbH meldete ein Projekt zur Einführung des Konsolidierungssystems OrbisCon bei der Nordwerft-Tochter Baltic Rotor Services GmbH.</w:t>
      </w:r>
    </w:p>
    <w:p>
      <w:pPr>
        <w:pStyle w:val="Heading1"/>
      </w:pPr>
      <w:r>
        <w:t>2. Finanzielle Interessen</w:t>
      </w:r>
    </w:p>
    <w:p>
      <w:pPr>
        <w:widowControl/>
        <w:jc w:val="both"/>
      </w:pPr>
      <w:r>
        <w:t>Für die Mitglieder des Prüfungsteams ergab die Depotabfrage keine unmittelbar gehaltenen Aktien der Nordwerft Energieanlagen AG. Prüfungsmanagerin Lena Brandt meldete am 28.08.2025, dass ihr Ehepartner seit 01.06.2025 Leiter Treasury der Baltic Rotor Services GmbH ist. Sie wurde zunächst aus dem Teilteam Finanzierung genommen; die Systemberechtigung blieb bis 12.09.2025 aktiv.</w:t>
      </w:r>
    </w:p>
    <w:p>
      <w:pPr>
        <w:pStyle w:val="Heading1"/>
      </w:pPr>
      <w:r>
        <w:t>3. Leistungen</w:t>
      </w:r>
    </w:p>
    <w:p>
      <w:pPr>
        <w:widowControl/>
        <w:jc w:val="both"/>
      </w:pPr>
      <w:r>
        <w:t>Neben der Abschlussprüfung waren Steuer-Compliance-Leistungen, eine prüfungsnahe Bestätigung zu Fördermitteln und das OrbisCon-Projekt gemeldet. Für die Steuerleistungen lag eine Freigabe des Prüfungsausschusses vom 22.05.2025 vor. Für zwei Erweiterungsmodule des OrbisCon-Projekts enthielt der Datenraum lediglich eine E-Mail des Finanzvorstands an den Ausschussvorsitzenden.</w:t>
      </w:r>
    </w:p>
    <w:p>
      <w:pPr>
        <w:pStyle w:val="Heading1"/>
      </w:pPr>
      <w:r>
        <w:t>4. Schlussvermerk</w:t>
      </w:r>
    </w:p>
    <w:p>
      <w:pPr>
        <w:widowControl/>
        <w:jc w:val="both"/>
      </w:pPr>
      <w:r>
        <w:t>Das Independence Office bat am 03.09.2025 um Nachweise zu Leistungsumfang, Entscheidungsverantwortung des Mandanten und Freigabe der Erweiterungsmodule. Der Auftragsstatus blieb bis zur Antwort auf gelb gesetzt. Am 15.09.2025 wurde er nach Vorlage eines Management-Responsibility-Memos auf grün geändert.</w:t>
      </w:r>
    </w:p>
    <w:p/>
    <w:p>
      <w:r>
        <w:rPr>
          <w:b/>
        </w:rPr>
        <w:t>Mareike Oltmann</w:t>
      </w:r>
    </w:p>
    <w:p>
      <w:r>
        <w:t>Director Independence &amp; Ethics</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Hanseatische Revision Partnerschaft mbB  |  Qualitätsmanagement · Independence Office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Hanseatische Revision Partnerschaft mbB</w:t>
          </w:r>
          <w:r>
            <w:rPr>
              <w:rFonts w:ascii="Arial" w:hAnsi="Arial"/>
              <w:color w:val="5C6266"/>
              <w:sz w:val="17"/>
            </w:rPr>
            <w:br/>
            <w:t>Qualitätsmanagement · Independence Office</w:t>
          </w:r>
        </w:p>
      </w:tc>
      <w:tc>
        <w:tcPr>
          <w:tcW w:type="dxa" w:w="3742"/>
        </w:tcPr>
        <w:p>
          <w:pPr>
            <w:spacing w:after="0"/>
            <w:jc w:val="right"/>
          </w:pPr>
          <w:r>
            <w:rPr>
              <w:rFonts w:ascii="Arial" w:hAnsi="Arial"/>
              <w:color w:val="5C6266"/>
              <w:sz w:val="15"/>
            </w:rPr>
            <w:t>Ballindamm 39 · 20095 Hamburg</w:t>
            <w:br/>
            <w:t>Telefon 040 380 91 0 · Fax 040 380 91 199</w:t>
            <w:br/>
            <w:t>post@hanseatische-revision.de · PR 1188 AG Hamburg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