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Dokumentation nach Abschluss der Prüfungsakte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Prüfungsbericht</w:t>
            </w:r>
          </w:p>
        </w:tc>
        <w:tc>
          <w:tcPr>
            <w:tcW w:type="dxa" w:w="7313"/>
            <w:vAlign w:val="top"/>
          </w:tcPr>
          <w:p>
            <w:pPr>
              <w:spacing w:after="20"/>
            </w:pPr>
            <w:r>
              <w:rPr>
                <w:rFonts w:ascii="Arial" w:hAnsi="Arial"/>
                <w:sz w:val="18"/>
              </w:rPr>
              <w:t>erteilt am 11.03.2026</w:t>
            </w:r>
          </w:p>
        </w:tc>
      </w:tr>
      <w:tr>
        <w:tc>
          <w:tcPr>
            <w:tcW w:type="dxa" w:w="1928"/>
            <w:vAlign w:val="top"/>
          </w:tcPr>
          <w:p>
            <w:pPr>
              <w:spacing w:after="20"/>
            </w:pPr>
            <w:r>
              <w:rPr>
                <w:rFonts w:ascii="Arial" w:hAnsi="Arial"/>
                <w:b/>
                <w:color w:val="5C6266"/>
                <w:sz w:val="17"/>
              </w:rPr>
              <w:t>Archivschluss</w:t>
            </w:r>
          </w:p>
        </w:tc>
        <w:tc>
          <w:tcPr>
            <w:tcW w:type="dxa" w:w="7313"/>
            <w:vAlign w:val="top"/>
          </w:tcPr>
          <w:p>
            <w:pPr>
              <w:spacing w:after="20"/>
            </w:pPr>
            <w:r>
              <w:rPr>
                <w:rFonts w:ascii="Arial" w:hAnsi="Arial"/>
                <w:sz w:val="18"/>
              </w:rPr>
              <w:t>10.05.2026</w:t>
            </w:r>
          </w:p>
        </w:tc>
      </w:tr>
      <w:tr>
        <w:tc>
          <w:tcPr>
            <w:tcW w:type="dxa" w:w="1928"/>
            <w:vAlign w:val="top"/>
          </w:tcPr>
          <w:p>
            <w:pPr>
              <w:spacing w:after="20"/>
            </w:pPr>
            <w:r>
              <w:rPr>
                <w:rFonts w:ascii="Arial" w:hAnsi="Arial"/>
                <w:b/>
                <w:color w:val="5C6266"/>
                <w:sz w:val="17"/>
              </w:rPr>
              <w:t>Erstellt</w:t>
            </w:r>
          </w:p>
        </w:tc>
        <w:tc>
          <w:tcPr>
            <w:tcW w:type="dxa" w:w="7313"/>
            <w:vAlign w:val="top"/>
          </w:tcPr>
          <w:p>
            <w:pPr>
              <w:spacing w:after="20"/>
            </w:pPr>
            <w:r>
              <w:rPr>
                <w:rFonts w:ascii="Arial" w:hAnsi="Arial"/>
                <w:sz w:val="18"/>
              </w:rPr>
              <w:t>09.04.2026</w:t>
            </w:r>
          </w:p>
        </w:tc>
      </w:tr>
      <w:tr>
        <w:tc>
          <w:tcPr>
            <w:tcW w:type="dxa" w:w="1928"/>
            <w:vAlign w:val="top"/>
          </w:tcPr>
          <w:p>
            <w:pPr>
              <w:spacing w:after="20"/>
            </w:pPr>
            <w:r>
              <w:rPr>
                <w:rFonts w:ascii="Arial" w:hAnsi="Arial"/>
                <w:b/>
                <w:color w:val="5C6266"/>
                <w:sz w:val="17"/>
              </w:rPr>
              <w:t>Verantwortlich</w:t>
            </w:r>
          </w:p>
        </w:tc>
        <w:tc>
          <w:tcPr>
            <w:tcW w:type="dxa" w:w="7313"/>
            <w:vAlign w:val="top"/>
          </w:tcPr>
          <w:p>
            <w:pPr>
              <w:spacing w:after="20"/>
            </w:pPr>
            <w:r>
              <w:rPr>
                <w:rFonts w:ascii="Arial" w:hAnsi="Arial"/>
                <w:sz w:val="18"/>
              </w:rPr>
              <w:t>Dr. Henrik Clausen</w:t>
            </w:r>
          </w:p>
        </w:tc>
      </w:tr>
    </w:tbl>
    <w:p>
      <w:pPr>
        <w:spacing w:after="40"/>
      </w:pPr>
    </w:p>
    <w:p>
      <w:pPr>
        <w:pStyle w:val="Heading1"/>
      </w:pPr>
      <w:r>
        <w:t>1. Änderung vom 19.03.2026</w:t>
      </w:r>
    </w:p>
    <w:p>
      <w:pPr>
        <w:widowControl/>
        <w:jc w:val="both"/>
      </w:pPr>
      <w:r>
        <w:t>Senior Manager Torben Lask ergänzte im Arbeitspapier FIN-4.7 den Querverweis auf die Bankbestätigung vom 28.02.2026. Zahlen und Prüfungsschlussfolgerung blieben unverändert. Die frühere PDF-Fassung liegt im Versionsarchiv.</w:t>
      </w:r>
    </w:p>
    <w:p>
      <w:pPr>
        <w:pStyle w:val="Heading1"/>
      </w:pPr>
      <w:r>
        <w:t>2. Änderung vom 02.04.2026</w:t>
      </w:r>
    </w:p>
    <w:p>
      <w:pPr>
        <w:widowControl/>
        <w:jc w:val="both"/>
      </w:pPr>
      <w:r>
        <w:t>Nach einer Rückfrage des Prüfungsausschusses wurde dem Arbeitspapier IT-2.3 die schriftliche Abgrenzung der Managementverantwortung beim OrbisCon-Projekt beigefügt. Das Memo trägt das Datum 12.09.2025, wurde nach Angaben von Hanseatic Advisory jedoch erst am 31.03.2026 aus deren Projektarchiv exportiert.</w:t>
      </w:r>
    </w:p>
    <w:p>
      <w:pPr>
        <w:pStyle w:val="Heading1"/>
      </w:pPr>
      <w:r>
        <w:t>3. Änderung vom 07.04.2026</w:t>
      </w:r>
    </w:p>
    <w:p>
      <w:pPr>
        <w:widowControl/>
        <w:jc w:val="both"/>
      </w:pPr>
      <w:r>
        <w:t>Im Arbeitspapier IND-3.2 wurde der Zeitraum der aktiven Systemberechtigung von Prüfungsmanagerin Lena Brandt von 28.08. bis 12.09.2025 ergänzt. Die Zugriffsprotokolle zeigen in diesem Zeitraum 17 Dokumentaufrufe und zwei Kommentierungen. Der Engagement Quality Reviewer erhielt am 08.04.2026 eine Kopie.</w:t>
      </w:r>
    </w:p>
    <w:p>
      <w:pPr>
        <w:pStyle w:val="Heading1"/>
      </w:pPr>
      <w:r>
        <w:t>4. Sicherung</w:t>
      </w:r>
    </w:p>
    <w:p>
      <w:pPr>
        <w:widowControl/>
        <w:jc w:val="both"/>
      </w:pPr>
      <w:r>
        <w:t>Alle Änderungen sind in der Prüfungssoftware mit Nutzer, Uhrzeit und Begründung gespeichert. Die Arbeitspapiere wurden nicht gelöscht. Die ursprünglichen Fassungen sind im schreibgeschützten Export NWE-2025-FINAL-110326 enthalten.</w:t>
      </w:r>
    </w:p>
    <w:p/>
    <w:p>
      <w:r>
        <w:rPr>
          <w:b/>
        </w:rPr>
        <w:t>Dr. Henrik Clausen</w:t>
      </w:r>
    </w:p>
    <w:p>
      <w:r>
        <w:t>Verantwortlicher Abschlussprüfer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Hanseatische Revision Partnerschaft mbB  |  Qualitätsmanagement · Prüfungsakte Nordwerft 2025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Hanseatische Revision Partnerschaft mbB</w:t>
          </w:r>
          <w:r>
            <w:rPr>
              <w:rFonts w:ascii="Arial" w:hAnsi="Arial"/>
              <w:color w:val="5C6266"/>
              <w:sz w:val="17"/>
            </w:rPr>
            <w:br/>
            <w:t>Qualitätsmanagement · Prüfungsakte Nordwerft 2025</w:t>
          </w:r>
        </w:p>
      </w:tc>
      <w:tc>
        <w:tcPr>
          <w:tcW w:type="dxa" w:w="3742"/>
        </w:tcPr>
        <w:p>
          <w:pPr>
            <w:spacing w:after="0"/>
            <w:jc w:val="right"/>
          </w:pPr>
          <w:r>
            <w:rPr>
              <w:rFonts w:ascii="Arial" w:hAnsi="Arial"/>
              <w:color w:val="5C6266"/>
              <w:sz w:val="15"/>
            </w:rPr>
            <w:t>Ballindamm 39 · 20095 Hamburg</w:t>
            <w:br/>
            <w:t>Telefon 040 380 91 0 · Fax 040 380 91 199</w:t>
            <w:br/>
            <w:t>post@hanseatische-revision.de · PR 1188 AG Hamburg</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