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ARGE Faltwerk und Baukontur</w:t>
        <w:br/>
        <w:t>Geschäftsstelle bei Faltwerk Architektur</w:t>
        <w:br/>
        <w:t>Hafenwinkel 12, 31785 Hameln</w:t>
        <w:br/>
        <w:t>bewerbung@faltwerk.example</w:t>
      </w:r>
    </w:p>
    <w:p>
      <w:r>
        <w:t>An: Projektleitungen Faltwerk und Baukontur</w:t>
      </w:r>
    </w:p>
    <w:p>
      <w:r>
        <w:t>18.08.2022 | Zeichen: SB-22 / Vereinbarung 4</w:t>
      </w:r>
    </w:p>
    <w:p>
      <w:pPr>
        <w:pStyle w:val="Title"/>
      </w:pPr>
      <w:r>
        <w:t>Leistungsabgrenzung Stadtteilhaus Südbogen</w:t>
      </w:r>
    </w:p>
    <w:p>
      <w:r>
        <w:t>Stadtteilhaus Südbogen, Umbau, Springe</w:t>
      </w:r>
    </w:p>
    <w:p>
      <w:pPr>
        <w:pStyle w:val="Heading1"/>
      </w:pPr>
      <w:r>
        <w:t>1 Gemeinsamer Auftrag</w:t>
      </w:r>
    </w:p>
    <w:p>
      <w:r>
        <w:t>Der Auftrag der Südbogen Bildungsstiftung umfasst den Umbau des Stadtteilhauses einschließlich des weiter betriebenen Beratungsbereichs. Baukontur führt die Entwurfs- und Genehmigungsplanung und vertritt die Arbeitsgemeinschaft in den Abstimmungen zum Bauantrag. Faltwerk nimmt an den Nutzergesprächen zum Innenausbau teil. Die Teilnahme an diesen Gesprächen überträgt Faltwerk nicht die Verantwortung für die Entwurfs- oder Genehmigungsplanung.</w:t>
      </w:r>
    </w:p>
    <w:p>
      <w:pPr>
        <w:pStyle w:val="Heading1"/>
      </w:pPr>
      <w:r>
        <w:t>2 Aufgaben im weiteren Verlauf</w:t>
      </w:r>
    </w:p>
    <w:p>
      <w:r>
        <w:t>Faltwerk bearbeitet die Ausführungsplanung, die Vergabevorbereitung und die Objektüberwachung für den Innenausbau. Baukontur bearbeitet die entsprechenden Leistungen an Fassade, Dach und den äußeren Erschließungsflächen. Mehmet Aydin koordiniert aufseiten Faltwerk den Zugang zu den Unterrichtsräumen. Die Rechnungsfreigabe gegenüber der Stiftung wird über die gemeinsame Projektleitung geführt. Jedes Büro zeichnet seine Planstände mit eigenem Bearbeitungskennzeichen.</w:t>
      </w:r>
    </w:p>
    <w:p>
      <w:pPr>
        <w:pStyle w:val="Heading1"/>
      </w:pPr>
      <w:r>
        <w:t>3 Honorar und Projektangaben</w:t>
      </w:r>
    </w:p>
    <w:p>
      <w:r>
        <w:t>Für die interne Honorarverteilung werden Faltwerk 40 Prozent und Baukontur 60 Prozent zugeordnet. Die Kostenfeststellung des Gesamtobjekts wird gemeinsam abgegeben; aus dem Honorarverhältnis werden keine getrennten Baukostensummen der Büros abgeleitet. Bei späteren Projektnennungen werden beide Partner und die jeweils übernommenen Leistungen angegeben. Die endgültigen Kosten und Abschlussdaten werden erst in der Schlussdokumentation festgehalten.</w:t>
      </w:r>
    </w:p>
    <w:p>
      <w:r>
        <w:t>gez. Lena Kruse, Faltwerk</w:t>
        <w:br/>
        <w:t>gez. Joachim Renner, Baukontur</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SB-22 / Vereinbarung 4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Leistungsabgrenzung Stadtteilhaus Südbogen</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