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pPr>
      <w:r>
        <w:t>An Linde &amp; Fels Steuerberatung</w:t>
        <w:br/>
        <w:t>Frau Steuerberaterin Johanna Veldmann</w:t>
        <w:br/>
        <w:t>Tuchgasse 8, 90403 Nürnberg</w:t>
      </w:r>
    </w:p>
    <w:p>
      <w:pPr>
        <w:spacing w:after="140" w:line="259" w:lineRule="auto"/>
        <w:jc w:val="right"/>
      </w:pPr>
      <w:r>
        <w:t>Nürnberg, 15. Januar 2026</w:t>
      </w:r>
    </w:p>
    <w:p>
      <w:pPr>
        <w:pStyle w:val="Title"/>
        <w:spacing w:after="140" w:line="259" w:lineRule="auto"/>
      </w:pPr>
      <w:r>
        <w:t>Unternehmensangaben und Unterlagenübergabe</w:t>
      </w:r>
    </w:p>
    <w:p>
      <w:pPr>
        <w:spacing w:after="140" w:line="259" w:lineRule="auto"/>
      </w:pPr>
      <w:r>
        <w:t>MF / Rechnungswesen / 2026-01</w:t>
      </w:r>
    </w:p>
    <w:p>
      <w:pPr>
        <w:spacing w:after="140" w:line="259" w:lineRule="auto"/>
      </w:pPr>
      <w:r>
        <w:t>Sehr geehrte Frau Veldmann,</w:t>
      </w:r>
    </w:p>
    <w:p>
      <w:pPr>
        <w:spacing w:after="140" w:line="259" w:lineRule="auto"/>
      </w:pPr>
      <w:r>
        <w:t>für den besprochenen Vergleich der Jahre 2024 und 2025 übersende ich Ihnen unsere betriebswirtschaftlichen Auswertungen, die Summen- und Saldenlisten und die ergänzenden Unterlagen. Bitte stellen Sie Ihre Rückfragen zunächst an Frau Selina Brückner in der Buchhaltung. Für die Besprechung am 22. Januar benötige ich eine verständliche Darstellung der Entwicklung und der noch fehlenden Unterlagen.</w:t>
      </w:r>
    </w:p>
    <w:p>
      <w:pPr>
        <w:pStyle w:val="Heading1"/>
        <w:keepNext/>
        <w:spacing w:after="0" w:line="259" w:lineRule="auto"/>
      </w:pPr>
      <w:r>
        <w:t>1 Betrieb und Zuständigkeiten</w:t>
      </w:r>
    </w:p>
    <w:p>
      <w:pPr>
        <w:keepNext/>
        <w:spacing w:before="0" w:after="0" w:line="220" w:lineRule="exact"/>
      </w:pPr>
      <w:r>
        <w:rPr>
          <w:sz w:val="22"/>
        </w:rPr>
      </w:r>
    </w:p>
    <w:p>
      <w:pPr>
        <w:spacing w:after="140" w:line="259" w:lineRule="auto"/>
      </w:pPr>
      <w:r>
        <w:t>Die Mainfrucht Spezialitätenhandel GmbH handelt mit glutenfreien Getreidealternativen, Hülsenfruchtprodukten, Saaten, Trockenfrüchten und pflanzlichen Getränken. Wir kaufen in Deutschland, den Niederlanden, Spanien, Peru, Chile und Indien ein. Unsere Kunden sind Fachgroßhändler und Handelsketten in Deutschland, anderen EU-Staaten, Kanada, Japan und den Vereinigten Arabischen Emiraten. Die Waren werden zugekauft; wir mischen und produzieren nicht selbst.</w:t>
      </w:r>
    </w:p>
    <w:p>
      <w:pPr>
        <w:spacing w:after="140" w:line="259" w:lineRule="auto"/>
      </w:pPr>
      <w:r>
        <w:t>Geschäftssitz und Verwaltung befinden sich in der Kranichstraße 24 in Nürnberg. Das angemietete Lager liegt am Brucker Hofweg 18 in Erlangen und umfasst 1.450 Quadratmeter einschließlich einer abgetrennten Klimazone. Die beiden Standorte gehören zu derselben Gesellschaft und werden in einer Buchhaltung geführt.</w:t>
      </w:r>
    </w:p>
    <w:p>
      <w:pPr>
        <w:spacing w:after="140" w:line="259" w:lineRule="auto"/>
      </w:pPr>
      <w:r>
        <w:t>Die Zahl der Beschäftigten beträgt in beiden Jahren unverändert 20 einschließlich meiner Person als Geschäftsführerin. Davon arbeiten acht im Lager, fünf im Vertrieb, zwei im Einkauf, zwei in der Qualitätssicherung und zwei in Buchhaltung und Verwaltung. Es gab 2025 keine Entlassungen. Die durchschnittlichen monatlichen Bruttogehälter stiegen zum Januar und nochmals zum Juli. Fremdpersonal ist in diesen Zahlen nicht enthalten; laufende Lagerreinigung wird als Sachaufwand abgerechnet.</w:t>
      </w:r>
    </w:p>
    <w:p>
      <w:pPr>
        <w:pStyle w:val="Heading1"/>
        <w:keepNext/>
        <w:spacing w:after="0" w:line="259" w:lineRule="auto"/>
      </w:pPr>
      <w:r>
        <w:t>2 Waren und Absatz</w:t>
      </w:r>
    </w:p>
    <w:p>
      <w:pPr>
        <w:keepNext/>
        <w:spacing w:before="0" w:after="0" w:line="220" w:lineRule="exact"/>
      </w:pPr>
      <w:r>
        <w:rPr>
          <w:sz w:val="22"/>
        </w:rPr>
      </w:r>
    </w:p>
    <w:p>
      <w:pPr>
        <w:spacing w:after="140" w:line="259" w:lineRule="auto"/>
      </w:pPr>
      <w:r>
        <w:t>Bei den trockenen Lebensmitteln sind die Lagerzeiten länger als bei den Getränken. Die Anschaffungskosten der Ware enthalten die vom Lieferanten berechneten Bezugskosten. Ausgangsfrachten werden gesondert als Aufwand gebucht. Die inländischen Fakturajournale unterscheiden Waren mit 7 Prozent und Getränke mit 19 Prozent. EU- und Drittlandumsätze sind separat erfasst. Das ist die Behandlung in unserer Buchhaltung; einzelne Zoll- oder Steueranmeldungen sind dieser Übergabe nicht beigefügt.</w:t>
      </w:r>
    </w:p>
    <w:p>
      <w:pPr>
        <w:spacing w:after="140" w:line="259" w:lineRule="auto"/>
      </w:pPr>
      <w:r>
        <w:t>2025 haben zwei deutsche Abnehmer ihre Eigenmarken auf andere Bezugsquellen umgestellt. Die geplanten Abrufe aus Kanada sind nicht vollständig erfolgt. Für die beanstandeten Chargen unterscheiden sich die Einschätzungen von Vertrieb und Qualitätssicherung. Im Lagerbuch stehen Mengen, die noch vorhanden sind, auch dann, wenn die Qualitätssicherung sie vorläufig gesperrt hat.</w:t>
      </w:r>
    </w:p>
    <w:p>
      <w:pPr>
        <w:pStyle w:val="Heading1"/>
        <w:keepNext/>
        <w:spacing w:after="0" w:line="259" w:lineRule="auto"/>
      </w:pPr>
      <w:r>
        <w:t>3 Rechnungswesen und Stichtag</w:t>
      </w:r>
    </w:p>
    <w:p>
      <w:pPr>
        <w:keepNext/>
        <w:spacing w:before="0" w:after="0" w:line="220" w:lineRule="exact"/>
      </w:pPr>
      <w:r>
        <w:rPr>
          <w:sz w:val="22"/>
        </w:rPr>
      </w:r>
    </w:p>
    <w:p>
      <w:pPr>
        <w:spacing w:after="140" w:line="259" w:lineRule="auto"/>
      </w:pPr>
      <w:r>
        <w:t>Die vier Excel-Dateien haben den gemeinsamen Bearbeitungsstand 15. Januar 2026. Für 2024 wurden die Inventurabwertung, Einzelwertberichtigung, Rückstellungs- und Steuerbuchungen übernommen. Die Zahlen 2025 sind noch nicht als Jahresabschluss freigegeben. Die Jahres-SuSa bleibt jeweils vor dem Abschluss der Erfolgskonten; der Übergang 2024 auf 2025 steht ausdrücklich im Blatt Vortrag der SuSa 2025.</w:t>
      </w:r>
    </w:p>
    <w:p>
      <w:pPr>
        <w:spacing w:after="140" w:line="259" w:lineRule="auto"/>
      </w:pPr>
      <w:r>
        <w:t>Das Journal in den Excel-Dateien fasst die Monatsjournale nach Buchungsart zusammen. Es ist kein Export jeder Kundenrechnung oder jedes Bankumsatzes. Die beigefügten OP-Listen enthalten die am jeweiligen Jahresende noch offenen Einzelrechnungen. Das Zahlungsjournal Januar 2026 zeigt die gebuchten Bankbewegungen bis zum 15. Januar sowie separat die nicht ausgeführten Aufträge.</w:t>
      </w:r>
    </w:p>
    <w:p>
      <w:pPr>
        <w:spacing w:after="140" w:line="259" w:lineRule="auto"/>
      </w:pPr>
      <w:r>
        <w:t>Alle beigefügten Verträge werden in EUR abgerechnet. Ein separates Fremdwährungsbankkonto besteht nicht. Die Bank verwaltet ein Geschäftskonto mit vereinbarter Kreditlinie sowie ein getrenntes Investitionsdarlehen. Lieferantenanzahlungen, Umsatzsteuererstattungen, Tilgungen und laufende Aufwendungen laufen über das Geschäftskonto.</w:t>
      </w:r>
    </w:p>
    <w:p>
      <w:pPr>
        <w:pStyle w:val="Heading1"/>
        <w:keepNext/>
        <w:spacing w:after="0" w:line="259" w:lineRule="auto"/>
      </w:pPr>
      <w:r>
        <w:t>4 Ansprechpartner</w:t>
      </w:r>
    </w:p>
    <w:p>
      <w:pPr>
        <w:keepNext/>
        <w:spacing w:before="0" w:after="0" w:line="220" w:lineRule="exact"/>
      </w:pPr>
      <w:r>
        <w:rPr>
          <w:sz w:val="22"/>
        </w:rPr>
      </w:r>
    </w:p>
    <w:p>
      <w:pPr>
        <w:spacing w:after="140" w:line="259" w:lineRule="auto"/>
      </w:pPr>
      <w:r>
        <w:t>Ich bin unter mara.eichenfels@mainfrucht-handel.de erreichbar. Selina Brückner betreut die Buchhaltung unter buchhaltung@mainfrucht-handel.de. Leander Rößler leitet das Lager und ist unter lager@mainfrucht-handel.de erreichbar. Bei Rückfragen zu gesperrten Chargen antwortet unsere Qualitätsleiterin Nele Ortwein unter qualitaet@mainfrucht-handel.de.</w:t>
      </w:r>
    </w:p>
    <w:p>
      <w:pPr>
        <w:spacing w:after="140" w:line="259" w:lineRule="auto"/>
      </w:pPr>
      <w:r>
        <w:t>Mit freundlichen Grüßen</w:t>
        <w:br/>
        <w:t>Mara Eichenfels</w:t>
        <w:br/>
        <w:t>Geschäftsführerin</w:t>
      </w:r>
    </w:p>
    <w:sectPr w:rsidR="00FC693F" w:rsidRPr="0006063C" w:rsidSect="00034616">
      <w:headerReference w:type="default" r:id="rId9"/>
      <w:footerReference w:type="default" r:id="rId10"/>
      <w:pgSz w:w="11906" w:h="16838"/>
      <w:pgMar w:top="1361" w:right="1134"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MF / Rechnungswesen / 2026-01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b/>
      </w:rPr>
      <w:t>Mainfrucht Spezialitätenhandel GmbH</w:t>
    </w:r>
  </w:p>
  <w:p>
    <w:pPr>
      <w:spacing w:after="40"/>
    </w:pPr>
    <w:r>
      <w:rPr>
        <w:sz w:val="18"/>
      </w:rPr>
      <w:t>Kranichstraße 24, 90441 Nürnberg</w:t>
      <w:br/>
      <w:t>office@mainfrucht-handel.de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Unternehmensangaben und Unterlagenübergabe</dc:title>
  <dc:subject>MF / Rechnungswesen / 2026-01</dc:subject>
  <dc:creator>Mainfrucht Spezialitätenhandel GmbH</dc:creator>
  <cp:keywords/>
  <dc:description/>
  <cp:lastModifiedBy/>
  <cp:revision>1</cp:revision>
  <dcterms:created xsi:type="dcterms:W3CDTF">2013-12-23T23:15:00Z</dcterms:created>
  <dcterms:modified xsi:type="dcterms:W3CDTF">2013-12-23T23:15:00Z</dcterms:modified>
  <cp:category/>
</cp:coreProperties>
</file>