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Objektakte: Gebäude- und Wohnungsdaten</w:t>
      </w:r>
    </w:p>
    <w:p>
      <w:pPr>
        <w:jc w:val="left"/>
      </w:pPr>
      <w:r>
        <w:t>Havelwinkel Wohnungsverwaltung GmbH</w:t>
      </w:r>
    </w:p>
    <w:p>
      <w:pPr>
        <w:jc w:val="left"/>
      </w:pPr>
      <w:r>
        <w:t>Güntzelstraße 34, 10717 Berlin</w:t>
      </w:r>
    </w:p>
    <w:p>
      <w:pPr>
        <w:jc w:val="left"/>
      </w:pPr>
      <w:r>
        <w:t>Objekt AW-18 | Bearbeiter Nora Tesch</w:t>
      </w:r>
    </w:p>
    <w:p>
      <w:pPr>
        <w:jc w:val="left"/>
      </w:pPr>
      <w:r>
        <w:t>Ausgabe für die Mietparteien vom 24.09.2026</w:t>
      </w:r>
    </w:p>
    <w:p>
      <w:pPr>
        <w:pStyle w:val="Heading2"/>
      </w:pPr>
      <w:r>
        <w:rPr>
          <w:rFonts w:ascii="Times New Roman" w:hAnsi="Times New Roman"/>
        </w:rPr>
        <w:t>1.1. Gebäude</w:t>
      </w:r>
    </w:p>
    <w:p>
      <w:pPr>
        <w:jc w:val="left"/>
      </w:pPr>
      <w:r>
        <w:t>Anschrift: Aachener Straße 18, 10713 Berlin.</w:t>
      </w:r>
    </w:p>
    <w:p>
      <w:pPr>
        <w:jc w:val="left"/>
      </w:pPr>
      <w:r>
        <w:t>Bezugsfertigkeit laut übernommenem Gebäudeordner: 1932.</w:t>
      </w:r>
    </w:p>
    <w:p>
      <w:pPr>
        <w:jc w:val="left"/>
      </w:pPr>
      <w:r>
        <w:t>Nutzung: freifinanziertes Mehrfamilienhaus.</w:t>
      </w:r>
    </w:p>
    <w:p>
      <w:pPr>
        <w:jc w:val="left"/>
      </w:pPr>
      <w:r>
        <w:t>Ein öffentlicher Förderbescheid oder eine laufende Mietbindung ist in den übernommenen Unterlagen nicht enthalten. Der Eigentümer hat auf Nachfrage am 21.09.2026 bestätigt, dass keine entsprechende Bindung besteht.</w:t>
      </w:r>
    </w:p>
    <w:p>
      <w:pPr>
        <w:jc w:val="left"/>
      </w:pPr>
      <w:r>
        <w:t>Die Wohnung 04 liegt im zweiten Obergeschoss des Vorderhauses. Das Gebäude hat keinen Aufzug. Es handelt sich nicht um einen späteren Dachgeschossausbau. Ein Wiederaufbau oder eine erstmalige Umwandlung dieser Wohnung aus Gewerberaum ist in der Objektchronik nicht verzeichnet.</w:t>
      </w:r>
    </w:p>
    <w:p>
      <w:pPr>
        <w:pStyle w:val="Heading2"/>
      </w:pPr>
      <w:r>
        <w:rPr>
          <w:rFonts w:ascii="Times New Roman" w:hAnsi="Times New Roman"/>
        </w:rPr>
        <w:t>1.2. Durchgeführte Arbeiten</w:t>
      </w:r>
    </w:p>
    <w:p>
      <w:pPr>
        <w:jc w:val="left"/>
      </w:pPr>
      <w:r>
        <w:t>Die Heizungsanlage wurde 2004 erneuert. In Wohnung 04 fanden vor der Übergabe im Juni 2026 Malerarbeiten und die Bearbeitung vorhandener Dielen statt. Für diese Arbeiten ist Rechnung FN-2026-0618 abgelegt. Ein Austausch sämtlicher Leitungen oder Sanitäreinrichtungen ist nicht verzeichnet.</w:t>
      </w:r>
    </w:p>
    <w:p>
      <w:pPr>
        <w:jc w:val="left"/>
      </w:pPr>
      <w:r>
        <w:t>Ein Energieausweis wird derzeit beim Eigentümer angefordert. Bis zu seinem Eingang ist in diesem Stammblatt kein Energiekennwert angegeben. Die Verwaltung übernimmt keinen Wert aus einer benachbarten Liegenschaft.</w:t>
      </w:r>
    </w:p>
    <w:p>
      <w:pPr>
        <w:pStyle w:val="Heading2"/>
      </w:pPr>
      <w:r>
        <w:rPr>
          <w:rFonts w:ascii="Times New Roman" w:hAnsi="Times New Roman"/>
        </w:rPr>
        <w:t>1.3. Unterlagenabgabe</w:t>
      </w:r>
    </w:p>
    <w:p>
      <w:pPr>
        <w:jc w:val="left"/>
      </w:pPr>
      <w:r>
        <w:t>Das Flächenblatt vom 03.06.2026 wurde beiden Mietern vor Vertragsabschluss übersandt. Eine zweite Flächenberechnung liegt nicht vor. Die Verwaltung stellt auf Wunsch den Abgleich mit dem Übergabeprotokoll zur Verfügung. Angaben über andere Mieter und deren persönliche Verhältnisse sind nicht Teil dieses Auszugs.</w:t>
      </w:r>
    </w:p>
    <w:p>
      <w:pPr>
        <w:jc w:val="left"/>
      </w:pPr>
      <w:r>
        <w:t>Nora Tesch</w:t>
      </w:r>
    </w:p>
    <w:p>
      <w:pPr>
        <w:jc w:val="left"/>
      </w:pPr>
      <w:r>
        <w:t>Objektverwaltung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 w:pos="9071" w:val="right"/>
      </w:tabs>
      <w:jc w:val="left"/>
    </w:pPr>
    <w:r>
      <w:rPr>
        <w:rFonts w:ascii="Times New Roman" w:hAnsi="Times New Roman"/>
        <w:color w:val="6B6B66"/>
        <w:sz w:val="16"/>
      </w:rPr>
    </w:r>
    <w:r>
      <w:rPr>
        <w:rFonts w:ascii="Times New Roman" w:hAnsi="Times New Roman"/>
        <w:color w:val="6B6B66"/>
        <w:sz w:val="16"/>
      </w:rPr>
      <w:t>Havelwinkel Wohnungsverwaltung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Havelwinkel Wohnungsverwaltung GmbH</w:t>
    </w:r>
  </w:p>
  <w:p>
    <w:pPr>
      <w:jc w:val="left"/>
      <w:pBdr>
        <w:bottom w:val="single" w:sz="6" w:space="2" w:color="7B2D3B"/>
      </w:pBdr>
    </w:pPr>
    <w:r>
      <w:rPr>
        <w:rFonts w:ascii="Times New Roman" w:hAnsi="Times New Roman"/>
        <w:color w:val="6B6B66"/>
        <w:sz w:val="16"/>
      </w:rPr>
      <w:t>Güntzelstraße 34, 10717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