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Mara und Felix Aydin</w:t>
        <w:br/>
        <w:t>Weichselstraße 42, 12045 Berlin</w:t>
      </w:r>
    </w:p>
    <w:p>
      <w:r>
        <w:t>Rechtsanwältin Jule Morgen</w:t>
        <w:br/>
        <w:t>Kanzlei am Kanal, Berlin</w:t>
      </w:r>
    </w:p>
    <w:p>
      <w:pPr>
        <w:pStyle w:val="Title"/>
      </w:pPr>
      <w:r>
        <w:t>Betreuung für Leni ab September</w:t>
      </w:r>
    </w:p>
    <w:p>
      <w:r>
        <w:t>19.08.2026</w:t>
      </w:r>
    </w:p>
    <w:p>
      <w:r>
        <w:t>Sehr geehrte Frau Morgen,</w:t>
      </w:r>
    </w:p>
    <w:p>
      <w:r>
        <w:t>wir bitten Sie, uns bei einem Kitaplatz für unsere Tochter Leni, geboren am 14.03.2024, zu unterstützen. Mara beginnt am 01.09.2026 wieder mit der Arbeit. Der Gutschein nennt sieben bis neun Stunden. Die angebotene Kita öffnet erst um 8 Uhr, Maras Frühdienst beginnt um 7 Uhr.</w:t>
      </w:r>
    </w:p>
    <w:p>
      <w:r>
        <w:t>Am liebsten möchten wir Leni in der Sonnenkringel lassen. Sie war beim Kennenlernen sofort bei der Holzeisenbahn zu Hause. Die Leitung bemüht sich, kann aber vor Oktober keinen sicheren Platz zusagen. Felix kann Leni an manchen Tagen bringen, seine Baustellentermine beginnen jedoch zweimal in der Woche ebenfalls früh.</w:t>
      </w:r>
    </w:p>
    <w:p>
      <w:r>
        <w:t>Bitte klären Sie, was wir jetzt von wem verlangen können und welches Schreiben zuerst nötig ist. Wir möchten die Zusammenarbeit mit den Einrichtungen freundlich halten. Einer kostenpflichtigen Übergangslösung haben wir noch nicht zugestimmt. Maras Mutter hilft in der Eingewöhnung, übernimmt aber keine dauerhafte Betreuung.</w:t>
      </w:r>
    </w:p>
    <w:p>
      <w:r>
        <w:t>Mit freundlichen Grüßen</w:t>
        <w:br/>
        <w:t>Mara und Felix Aydin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Betreuung für Leni ab September</dc:title>
  <dc:subject/>
  <dc:creator>Mara und Felix Aydin
Weichselstraße 42, 12045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