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Raban Stahlhandel GmbH</w:t>
        <w:br/>
        <w:t>Farah Riedmüller | Geschäftsführung</w:t>
        <w:br/>
        <w:t>Walzweg 7, 96052 Bamberg</w:t>
      </w:r>
    </w:p>
    <w:p>
      <w:r>
        <w:t>Rechtsanwalt Ottokar Feulner</w:t>
        <w:br/>
        <w:t>Kanzlei Feulner und Aydin | Am Alten Tor 12, 96047 Bamberg</w:t>
      </w:r>
    </w:p>
    <w:p>
      <w:r>
        <w:t>12.10.2026</w:t>
      </w:r>
    </w:p>
    <w:p>
      <w:pPr>
        <w:pStyle w:val="Title"/>
      </w:pPr>
      <w:r>
        <w:t>Bitte prüfen Sie die Rückforderung von 34140 Euro</w:t>
      </w:r>
    </w:p>
    <w:p>
      <w:pPr/>
      <w:r>
        <w:t>Sehr geehrter Herr Feulner,</w:t>
      </w:r>
    </w:p>
    <w:p>
      <w:pPr/>
      <w:r>
        <w:t>Frau Dr. Hinterleitner fordert 34.140,00 EUR von uns. Ich bitte Sie zunächst um eine schriftliche Einschätzung und eine Antwort an sie. Eine Klage ist uns bisher nicht zugestellt worden. Bitte räumen Sie keine Forderung ein und bieten Sie noch keinen Vergleich an. Wir haben 19 Beschäftigte; eine sofortige Rückzahlung würde unsere für November bestellte Bandstahlcharge treffen. Unsere eigenen Lieferanten wollen trotzdem pünktlich bezahlt werden.</w:t>
      </w:r>
    </w:p>
    <w:p>
      <w:pPr/>
      <w:r>
        <w:t>Blechliebe war seit 2018 Kunde. Ich kenne Mila Hutzler von der Handwerksmesse, wir sind aber weder verwandt noch geschäftlich beteiligt. Im Winter waren mehrere Baustellen stehen geblieben. Unser Außendienstler Kunibert Grell sagte, es hänge an einem einzigen säumigen Auftraggeber. Unsere Buchhalterin Erna Wölfel war weniger beruhigt: Sie musste jeder Rate hinterhertelefonieren. Dass beide dieselben Informationen hatten, glaube ich nicht. Bitte sprechen Sie mit ihnen getrennt.</w:t>
      </w:r>
    </w:p>
    <w:p>
      <w:pPr/>
      <w:r>
        <w:t>Die 7.140,00 EUR Ende Mai waren nach meiner Erinnerung für eine neue Lieferung, die wir ohne Vorkasse nicht verladen hätten. Die Verwalterin nimmt diesen Betrag dennoch in ihre Summe auf. Die Rechnung und das unterschriebene Ausgabeblatt liegen bei. Vom ursprünglichen offenen Bestand von 35.700,00 EUR sind außerdem 8.700,00 EUR unbezahlt geblieben. Diesen Rest haben wir noch nicht zur Tabelle angemeldet.</w:t>
      </w:r>
    </w:p>
    <w:p>
      <w:pPr/>
      <w:r>
        <w:t>Die unterschriebene Abtretung haben wir in einem anderen Ordner gefunden. Ein Geldbetrag ist daraus nicht eingegangen. Ich wusste nicht, dass Erna dem Baukunden damals schon geschrieben hatte. Bitte prüfen Sie daher auch, ob wir die Erklärung jetzt einfach zurückgeben dürfen. Ich möchte niemandem eine Zusage machen, die unsere Lage verschlechtert.</w:t>
      </w:r>
    </w:p>
    <w:p>
      <w:pPr/>
      <w:r>
        <w:t>Die Buchhaltung hat die beigefügten Excel-Dateien am Freitag aus ihrem Export aufgebaut. Sie sind kein vollständiger Liquiditätsstatus von Blechliebe. Wir kennen weder alle Bankkonten noch sämtliche anderen Gläubiger. Für Rückfragen erreichen Sie mich unter farah.riedmueller@raban.example.</w:t>
      </w:r>
    </w:p>
    <w:p>
      <w:pPr/>
      <w:r>
        <w:t>Mit freundlichen Grüßen</w:t>
        <w:br/>
        <w:t>Farah Riedmüller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Bitte prüfen Sie die Rückforderung von 34140 Euro</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