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Raban Stahlhandel GmbH</w:t>
        <w:br/>
        <w:t>Farah Riedmüller | Geschäftsführung</w:t>
        <w:br/>
        <w:t>Walzweg 7, 96052 Bamberg</w:t>
      </w:r>
    </w:p>
    <w:p>
      <w:r>
        <w:t>Blechliebe Metallbau GmbH</w:t>
        <w:br/>
        <w:t>Mila Hutzler | Geschäftsführerin</w:t>
        <w:br/>
        <w:t>Falzbogen 18, 96052 Bamberg</w:t>
      </w:r>
    </w:p>
    <w:p>
      <w:r>
        <w:t>05.03.2026</w:t>
      </w:r>
    </w:p>
    <w:p>
      <w:pPr>
        <w:pStyle w:val="Title"/>
      </w:pPr>
      <w:r>
        <w:t>Vereinbarung über offene Lieferantenrechnungen</w:t>
      </w:r>
    </w:p>
    <w:p>
      <w:pPr>
        <w:pStyle w:val="Heading1"/>
      </w:pPr>
      <w:r>
        <w:t>1 Abgegrenzter Bestand</w:t>
      </w:r>
    </w:p>
    <w:p>
      <w:pPr/>
      <w:r>
        <w:t>Die Parteien stellen einen offenen Rechnungsbestand von 35.700,00 EUR aus den Rechnungen 2025-118, 2026-014 und 2026-032 fest. Die letzte Rechnung ist derzeit noch nicht fällig. Ihre Aufnahme in diese Vereinbarung dient der gemeinsamen Zahlungsplanung. Sie ist kein Verzicht auf den Kaufpreis und keine Erklärung über andere Gläubiger der Käuferin.</w:t>
      </w:r>
    </w:p>
    <w:p>
      <w:pPr>
        <w:pStyle w:val="Heading1"/>
      </w:pPr>
      <w:r>
        <w:t>2 Teilzahlungen</w:t>
      </w:r>
    </w:p>
    <w:p>
      <w:pPr/>
      <w:r>
        <w:t>Blechliebe zahlt am 12. März, 10. April, 11. Mai, 10. Juni und 10. Juli 2026 jeweils 6.000,00 EUR und am 10. August 2026 die verbleibenden 5.700,00 EUR. Die Parteien vereinbaren diese Zahlungszeitpunkte anstelle der ursprünglichen Fälligkeiten. Die Zahlungen werden zunächst auf die älteste der drei Rechnungen gebucht. Eine gesonderte Mahnkosten- oder Zinszahlung wird in diesem Plan nicht verlangt.</w:t>
      </w:r>
    </w:p>
    <w:p>
      <w:pPr>
        <w:pStyle w:val="Heading1"/>
      </w:pPr>
      <w:r>
        <w:t>3 Neue Lieferungen</w:t>
      </w:r>
    </w:p>
    <w:p>
      <w:pPr/>
      <w:r>
        <w:t>Neue Aufträge sind nicht in diesem Plan enthalten. Sie können einzeln gegen Vorauszahlung vereinbart werden. Für eine solche Lieferung bezeichnet die Käuferin im Verwendungszweck die neue Rechnung; diese Zahlung wird nicht auf die Altrechnungen umgebucht. Eine automatische Pflicht des Verkäufers, weitere Aufträge anzunehmen, entsteht nicht.</w:t>
      </w:r>
    </w:p>
    <w:p>
      <w:pPr>
        <w:pStyle w:val="Heading1"/>
      </w:pPr>
      <w:r>
        <w:t>4 Störung des Plans</w:t>
      </w:r>
    </w:p>
    <w:p>
      <w:pPr/>
      <w:r>
        <w:t>Wenn eine Rate nicht rechtzeitig eingeht, nehmen die Parteien unverzüglich Kontakt auf. Ein ausgebliebener Zahlungseingang macht nicht ohne weitere Erklärung automatisch den gesamten Restbetrag fällig. Änderungen werden mit Datum und betroffener Rate schriftlich festgehalten. Eine zusätzliche Sicherheit wird mit dieser Vereinbarung nicht bestellt.</w:t>
      </w:r>
    </w:p>
    <w:p>
      <w:pPr>
        <w:pStyle w:val="Heading1"/>
      </w:pPr>
      <w:r>
        <w:t>5 Unterschriften</w:t>
      </w:r>
    </w:p>
    <w:p>
      <w:pPr/>
      <w:r>
        <w:t>Bamberg, 5. März 2026. Farah Riedmüller für Raban Stahlhandel GmbH und Mila Hutzler für Blechliebe Metallbau GmbH. Beide Namenszüge befinden sich auf den ausgetauschten unterschriebenen Ausfertigungen.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offene Lieferantenrechnungen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