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Traugott Herold | Blechliebe Metallbau GmbH</w:t>
        <w:br/>
        <w:t>Buchhaltung | traugott.herold@blechliebe.example</w:t>
      </w:r>
    </w:p>
    <w:p>
      <w:r>
        <w:t>Mila Hutzler | intern</w:t>
      </w:r>
    </w:p>
    <w:p>
      <w:r>
        <w:t>08.05.2026</w:t>
      </w:r>
    </w:p>
    <w:p>
      <w:pPr>
        <w:pStyle w:val="Title"/>
      </w:pPr>
      <w:r>
        <w:t>Stand der Zahlungen am Freitag</w:t>
      </w:r>
    </w:p>
    <w:p>
      <w:pPr/>
      <w:r>
        <w:t>Mila,</w:t>
      </w:r>
    </w:p>
    <w:p>
      <w:pPr/>
      <w:r>
        <w:t>die Rate an Raban am Montag können wir aus dem gestern eingegangenen Abschlag von Heller Ausbau zahlen. Danach verbleiben auf diesem Konto voraussichtlich 4.630,00 EUR. Ich habe die Leasingrate und zwei kleinere Rechnungen für nächste Woche noch nicht freigegeben. Das ist keine Aussage, dass diese Forderungen gestundet wären. Mit dem Finanzamt habe ich nicht gesprochen; Deine Steuerberaterin wollte sich darum kümmern.</w:t>
      </w:r>
    </w:p>
    <w:p>
      <w:pPr/>
      <w:r>
        <w:t>Schottenbau bestreitet weiterhin 16.660,00 EUR wegen der Geländerbefestigungen. Der Bauleiter hat die 24.990,00 EUR für den übrigen Teil telefonisch wieder in Aussicht gestellt. In der Mail vom Mittwoch steht aber ausdrücklich erst nach Prüfung durch die Geschäftsführung. Bitte sage Herrn Grell deshalb nicht, die ganze Schlussrechnung sei sicher für nächste Woche zugesagt.</w:t>
      </w:r>
    </w:p>
    <w:p>
      <w:pPr/>
      <w:r>
        <w:t>Die Abtretung betrifft nur den Teilbetrag von 16.660,00 EUR. Gerade dieser ist streitig. Ich verstehe nicht, warum Raban ihn besser einziehen können sollte als wir. Vielleicht möchte Frau Riedmüller nur etwas Schriftliches für ihre Kreditversicherung. Ich würde dort weder den Wert mit dem Nennbetrag gleichsetzen noch eine kurzfristige Auszahlung einplanen.</w:t>
      </w:r>
    </w:p>
    <w:p>
      <w:pPr/>
      <w:r>
        <w:t>Unsere Excel-Zahlungsliste erfasst nur das Geschäftskonto mit Endziffern 4402. Das alte Konto bei der Kreisbank ist darin nicht enthalten. Mir fehlt noch der April-Auszug. Auch die für Juni angekündigten Eingänge sind keine Bankguthaben. Bitte hebe diesen Zettel auf; im Besprechungsbuch vom Mittwoch steht nur Raban nächste Woche.</w:t>
      </w:r>
    </w:p>
    <w:p>
      <w:pPr/>
      <w:r>
        <w:t>Traugott, 08.05.2026, 16:25 Uhr.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 der Zahlungen am Freitag</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