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Blechliebe Metallbau GmbH</w:t>
        <w:br/>
        <w:t>Mila Hutzler | Geschäftsführerin</w:t>
        <w:br/>
        <w:t>Falzbogen 18, 96052 Bamberg</w:t>
      </w:r>
    </w:p>
    <w:p>
      <w:r>
        <w:t>Raban Stahlhandel GmbH</w:t>
        <w:br/>
        <w:t>Farah Riedmüller | Geschäftsführung</w:t>
        <w:br/>
        <w:t>Walzweg 7, 96052 Bamberg</w:t>
      </w:r>
    </w:p>
    <w:p>
      <w:r>
        <w:t>08.05.2026</w:t>
      </w:r>
    </w:p>
    <w:p>
      <w:pPr>
        <w:pStyle w:val="Title"/>
      </w:pPr>
      <w:r>
        <w:t>Sicherungsabtretung einer bezeichneten Kundenforderung</w:t>
      </w:r>
    </w:p>
    <w:p>
      <w:pPr>
        <w:pStyle w:val="Heading1"/>
      </w:pPr>
      <w:r>
        <w:t>1 Abgetretene Forderung</w:t>
      </w:r>
    </w:p>
    <w:p>
      <w:pPr/>
      <w:r>
        <w:t>Blechliebe Metallbau GmbH tritt an Raban Stahlhandel GmbH einen Teilbetrag von 16.660,00 EUR aus ihrer Schlussrechnung SB24 vom 17. April 2026 gegen Schottenbau Projekt GmbH, Stegweg 6, 96049 Bamberg, ab. Der Teilbetrag betrifft die Positionen 8 bis 11 Geländer Treppenhaus Süd. Raban nimmt die Abtretung an. Die Abtretung dient ausschließlich der Sicherung des nach der Zahlung vom 10. April noch offenen Altbestands von 23.700,00 EUR aus der Ratenvereinbarung vom 5. März.</w:t>
      </w:r>
    </w:p>
    <w:p>
      <w:pPr>
        <w:pStyle w:val="Heading1"/>
      </w:pPr>
      <w:r>
        <w:t>2 Kenntnis des Streits</w:t>
      </w:r>
    </w:p>
    <w:p>
      <w:pPr/>
      <w:r>
        <w:t>Blechliebe hat Raban das Schreiben der Schottenbau Projekt GmbH vom 6. Mai übergeben. Die Forderung ist in dem bezeichneten Teil streitig. Blechliebe übernimmt keine Garantie, dass der Teilbetrag ohne weitere Sachaufklärung oder sofort realisiert werden kann. Die Parteien setzen den Nennbetrag nicht als bereits vorhandenes Bankguthaben an.</w:t>
      </w:r>
    </w:p>
    <w:p>
      <w:pPr>
        <w:pStyle w:val="Heading1"/>
      </w:pPr>
      <w:r>
        <w:t>3 Einziehung und Abrechnung</w:t>
      </w:r>
    </w:p>
    <w:p>
      <w:pPr/>
      <w:r>
        <w:t>Raban darf die Abtretung dem Kunden anzeigen. Einen Vergleich mit einem Forderungsverzicht schließt Raban nur nach vorheriger Abstimmung mit Blechliebe. Eingänge werden auf den gesicherten Altbestand angerechnet. Die Raten laufen bis zu einem tatsächlichen Erlös unverändert weiter. Übersteigende Erlöse sind nach Abrechnung an Blechliebe auszukehren. Bei vollständiger Erfüllung des gesicherten Bestands wird die Sicherheit freigegeben.</w:t>
      </w:r>
    </w:p>
    <w:p>
      <w:pPr>
        <w:pStyle w:val="Heading1"/>
      </w:pPr>
      <w:r>
        <w:t>4 Abschluss</w:t>
      </w:r>
    </w:p>
    <w:p>
      <w:pPr/>
      <w:r>
        <w:t>Bamberg, 8. Mai 2026. Unterzeichnet von Mila Hutzler und Farah Riedmüller.</w:t>
      </w:r>
    </w:p>
    <w:p>
      <w:pPr/>
      <w:r>
        <w:t>Nachträglicher Versandvermerk vom 12.05.2026: Erna Wölfel versandte die Anzeige an Schottenbau. Die Ausfertigung enthält keinen Vermerk über einen Zahlungseingang aus der abgetretenen Forderung.</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Sicherungsabtretung einer bezeichneten Kundenforderung</dc:title>
  <dc:subject/>
  <dc:creator>Klotzkette</dc:creator>
  <cp:keywords/>
  <dc:description>generated by python-docx</dc:description>
  <cp:lastModifiedBy>Klotzkette</cp:lastModifiedBy>
  <cp:revision>1</cp:revision>
  <dcterms:created xsi:type="dcterms:W3CDTF">2026-10-21T08:00:00Z</dcterms:created>
  <dcterms:modified xsi:type="dcterms:W3CDTF">2026-10-21T08:00:00Z</dcterms:modified>
  <cp:category/>
  <dc:language>de-DE</dc:language>
</cp:coreProperties>
</file>