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Selma Hinterleitner</w:t>
        <w:br/>
        <w:t>Insolvenzverwalterin über das Vermögen der Blechliebe Metallbau GmbH</w:t>
        <w:br/>
        <w:t>Kanzlei Hinterleitner | Zinngasse 9, 96047 Bamberg</w:t>
      </w:r>
    </w:p>
    <w:p>
      <w:r>
        <w:t>Raban Stahlhandel GmbH</w:t>
        <w:br/>
        <w:t>Farah Riedmüller | Geschäftsführung</w:t>
        <w:br/>
        <w:t>Walzweg 7, 96052 Bamberg</w:t>
      </w:r>
    </w:p>
    <w:p>
      <w:r>
        <w:t>06.10.2026</w:t>
      </w:r>
    </w:p>
    <w:p>
      <w:pPr>
        <w:pStyle w:val="Title"/>
      </w:pPr>
      <w:r>
        <w:t>Rückgewähr von Zahlungen der Blechliebe Metallbau GmbH</w:t>
      </w:r>
    </w:p>
    <w:p>
      <w:pPr/>
      <w:r>
        <w:t>Sehr geehrte Frau Riedmüller,</w:t>
      </w:r>
    </w:p>
    <w:p>
      <w:pPr/>
      <w:r>
        <w:t>als Insolvenzverwalterin nehme ich Sie auf Rückzahlung von insgesamt 34.140,00 EUR in Anspruch. Der Betrag setzt sich aus den Zahlungen vom 12. März, 10. April und 11. Mai 2026 zu jeweils 6.000,00 EUR, vom 29. Mai über 7.140,00 EUR sowie vom 9. Juni über 9.000,00 EUR zusammen. Die Zahlungen sind in der beigefügten Auswahl der Bankbuchungen bezeichnet. Bitte teilen Sie mir bis zum 27. Oktober 2026 mit, ob Sie die Forderung erfüllen.</w:t>
      </w:r>
    </w:p>
    <w:p>
      <w:pPr/>
      <w:r>
        <w:t>Nach den bisher ausgewerteten Unterlagen konnte die Schuldnerin spätestens im März ihre fälligen Verbindlichkeiten nicht mehr vollständig begleichen. Sie kannte diesen Zustand. Aus meiner Sicht waren auch Ihnen durch lange Zahlungsrückstände, wiederholte Nachfragen und die Bitte um Ratenzahlung die erheblichen Schwierigkeiten bekannt. Ich stütze die Rückforderung auf die einschlägigen Anfechtungsvorschriften der Insolvenzordnung, insbesondere die Vorsatz- und Deckungsanfechtung. Die Zeiträume und Voraussetzungen sind für die einzelnen Zahlungen gesondert zu beurteilen.</w:t>
      </w:r>
    </w:p>
    <w:p>
      <w:pPr/>
      <w:r>
        <w:t>Für den Betrag von 7.140,00 EUR bitte ich zusätzlich um die Bestellung, den Zahlungsnachweis und einen datierten Beleg über die vollständige Warenübergabe. In unserer Schuldnerablage lag zunächst nur die Rechnung ohne Ausgabevermerk. Ich habe diese Zahlung deshalb in die Rückforderung aufgenommen. Sie können hierzu selbstverständlich konkrete Einwendungen und Belege vorlegen; die bloße Bezeichnung Vorkasse beantwortet die rechtlichen Voraussetzungen noch nicht.</w:t>
      </w:r>
    </w:p>
    <w:p>
      <w:pPr/>
      <w:r>
        <w:t>Bitte erläutern Sie außerdem, wann und weshalb die Sicherungsabtretung vom 8. Mai vereinbart wurde, ob sie offen angezeigt wurde und ob daraus bereits Geld geflossen ist. Nach bisherigem Stand verlange ich hierfür keinen zusätzlichen Geldbetrag neben den 34.140,00 EUR. Eine doppelte Erfassung desselben Erlöses ist nicht beabsichtigt.</w:t>
      </w:r>
    </w:p>
    <w:p>
      <w:pPr/>
      <w:r>
        <w:t>Die von mir gesetzte Antwortfrist ist eine außergerichtliche Frist dieses Schreibens. Eine gerichtliche Zustellung ist damit nicht verbunden. Ein Anerkenntnis oder ein Verjährungsverzicht wird nicht durch Schweigen ersetzt. Für eine sachliche Abstimmung der Unterlagen steht Ihnen mein Büro unter selma.hinterleitner@hinterleitner.example zur Verfügung.</w:t>
      </w:r>
    </w:p>
    <w:p>
      <w:pPr/>
      <w:r>
        <w:t>Mit freundlichen Grüßen</w:t>
        <w:br/>
        <w:t>Dr. Selma Hinterleitner</w:t>
        <w:br/>
        <w:t>Rechtsanwältin als Insolvenzverwalterin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Rückgewähr von Zahlungen der Blechliebe Metallbau GmbH</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