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Dr. Ilja Fichtelmann</w:t>
        <w:br/>
        <w:t>Insolvenzverwalter Faltenwurf Polstermanufaktur GmbH</w:t>
        <w:br/>
        <w:t>Spindelgasse 4, 90762 Fürth</w:t>
      </w:r>
    </w:p>
    <w:p>
      <w:r>
        <w:t>Gundula Schlötterer</w:t>
        <w:br/>
        <w:t>Tuchgasse 6, 90762 Fürth</w:t>
      </w:r>
    </w:p>
    <w:p>
      <w:r>
        <w:t>12.10.2026</w:t>
      </w:r>
    </w:p>
    <w:p>
      <w:pPr>
        <w:pStyle w:val="Title"/>
      </w:pPr>
      <w:r>
        <w:t>Darlehensrückzahlung Sicherheit und Bankrückführung</w:t>
      </w:r>
    </w:p>
    <w:p>
      <w:pPr/>
      <w:r>
        <w:t>Sehr geehrte Frau Schlötterer,</w:t>
      </w:r>
    </w:p>
    <w:p>
      <w:pPr/>
      <w:r>
        <w:t>ich bin zum Insolvenzverwalter über das Vermögen der Faltenwurf Polstermanufaktur GmbH bestellt. Nach den vorliegenden Bankunterlagen erhielten Sie am 30. Juni 2026 eine Teilrückzahlung von 80.000,00 EUR auf Ihr Darlehen. Ich fordere Sie zur Rückgewähr dieses Betrags auf und bitte um Stellungnahme bis zum 30. Oktober 2026. Ich prüfe den Vorgang insbesondere nach den Vorschriften über Gesellschafterdarlehen.</w:t>
      </w:r>
    </w:p>
    <w:p>
      <w:pPr/>
      <w:r>
        <w:t>Daneben steht die Zahlung von 35.000,00 EUR an die Kettengrund Bank am 10. Juli 2026. Sie ist keine weitere Auszahlung auf Ihr Privatkonto. Nach der Bürgschaftsurkunde sicherten Sie jedoch die betreffende Betriebsmittellinie. Bitte übermitteln Sie mir den vollständigen Schriftverkehr zur Freigabe oder Herabsetzung Ihrer Haftung. Eine vollständige Erledigung der Bürgschaft lässt sich aus dem Brief vom 14. Juli gerade nicht entnehmen. Ein etwaiger Anspruch in diesem Zusammenhang muss gesondert begründet und gegen eine doppelte Befriedigung abgegrenzt werden.</w:t>
      </w:r>
    </w:p>
    <w:p>
      <w:pPr/>
      <w:r>
        <w:t>Schließlich zeigen Sie Eigentum am Zuschneidetisch an. Bitte reichen Sie den Sicherungsvertrag, die Erwerbsrechnung, den Zahlungsnachweis und alle Angaben zum heutigen Maschinenbestand ein. Ich bestreite derzeit nicht den Abschluss des Schriftstücks; zu prüfen sind aber die Rechtsfolgen der Sicherung des Gesellschafterdarlehens und die Identität des bezeichneten Gegenstands. Bis zur Klärung wird die Maschine im Betrieb inventarisiert. Eine eigenmächtige Abholung ist nicht abgestimmt.</w:t>
      </w:r>
    </w:p>
    <w:p>
      <w:pPr/>
      <w:r>
        <w:t>Ich fordere mit diesem Schreiben noch keinen pauschalen Gesamtbetrag von 115.000,00 EUR. Die Rückforderung der 80.000,00 EUR, die Bankzahlung und die Sicherheit sind drei getrennte Vorgänge. Auslagen des Herrn Haderlein sind nicht Gegenstand einer gegen Sie gerichteten Zahlungsforderung.</w:t>
      </w:r>
    </w:p>
    <w:p>
      <w:pPr/>
      <w:r>
        <w:t>Mit freundlichen Grüßen</w:t>
        <w:br/>
        <w:t>Dr. Ilja Fichtelmann</w:t>
        <w:br/>
        <w:t>Rechtsanwalt als Insolvenzverwalter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Darlehensrückzahlung Sicherheit und Bankrückführung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