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Amira Dörfler</w:t>
        <w:br/>
        <w:t>Kanzlei Dörfler | Fadenweg 3, 90762 Fürth</w:t>
      </w:r>
    </w:p>
    <w:p>
      <w:r>
        <w:t>Handakte Gundula Schlötterer</w:t>
      </w:r>
    </w:p>
    <w:p>
      <w:r>
        <w:t>19.10.2026</w:t>
      </w:r>
    </w:p>
    <w:p>
      <w:pPr>
        <w:pStyle w:val="Title"/>
      </w:pPr>
      <w:r>
        <w:t>Mandatsumfang und noch fehlende Unterlagen</w:t>
      </w:r>
    </w:p>
    <w:p>
      <w:pPr>
        <w:pStyle w:val="Heading1"/>
      </w:pPr>
      <w:r>
        <w:t>1 Besprechung</w:t>
      </w:r>
    </w:p>
    <w:p>
      <w:pPr/>
      <w:r>
        <w:t>Frau Schlötterer wurde am 19. Oktober allein beraten. Ihre Tochter und Herr Haderlein nahmen nicht teil. Das Mandat betrifft die gegen Gundula gerichtete Rückforderung, die angezeigte Maschinensicherheit und die persönliche Bürgschaft. Eine Vertretung der GmbH, der Geschäftsführerin oder Haderleins wurde nicht übernommen.</w:t>
      </w:r>
    </w:p>
    <w:p>
      <w:pPr>
        <w:pStyle w:val="Heading1"/>
      </w:pPr>
      <w:r>
        <w:t>2 Unterlagenstand</w:t>
      </w:r>
    </w:p>
    <w:p>
      <w:pPr/>
      <w:r>
        <w:t>Der Darlehensvertrag, die Sicherungsvereinbarung und die Bankbriefe liegen in lesbaren Kopien vor. Die Überweisung über 80.000,00 EUR ist durch die Bankauswahl belegt. Die Zahlung über 35.000,00 EUR ging unmittelbar von der GmbH an die Bank. Der aktuelle Gesamtstand der Bankforderung einschließlich Zinsen fehlt. Ebenso fehlt ein vollständiger Liquiditätsstatus der GmbH zum Juni und Juli. Ein Chat über Geldprobleme ersetzt diesen nicht.</w:t>
      </w:r>
    </w:p>
    <w:p>
      <w:pPr>
        <w:pStyle w:val="Heading1"/>
      </w:pPr>
      <w:r>
        <w:t>3 Angaben der Mandantin</w:t>
      </w:r>
    </w:p>
    <w:p>
      <w:pPr/>
      <w:r>
        <w:t>Gundula berichtet, sie habe ihre private Zwischenfinanzierung mit dem erhaltenen Geld abgelöst. Ein Privatkontoauszug hierzu wurde noch nicht vorgelegt. Sie hat nicht behauptet, die GmbH habe die Zahlung versehentlich geleistet. Die Informationsrechte aus dem Darlehensvertrag wurden nach ihrer Erinnerung nur unregelmäßig genutzt; einen unterschriebenen Rangrücktritt hat sie nicht gefunden.</w:t>
      </w:r>
    </w:p>
    <w:p>
      <w:pPr>
        <w:pStyle w:val="Heading1"/>
      </w:pPr>
      <w:r>
        <w:t>4 Weiteres Vorgehen</w:t>
      </w:r>
    </w:p>
    <w:p>
      <w:pPr/>
      <w:r>
        <w:t>Die rechtliche Prüfung wird für die drei Vorgänge getrennt erstellt. Vor einer abschließenden Antwort sind der fehlende Bankstand und die Unterlagen zur Maschinenidentität anzufordern. Die Antwortfrist des Verwalters wird intern auf den 27. Oktober zur Wiedervorlage notiert. Eine gerichtliche Frist ist aus den bisher vorgelegten Unterlagen nicht ersichtlich. Die Mandantin entscheidet nach Vorlage der Einschätzung über den freizugebenden Antwortbrief.</w:t>
      </w:r>
    </w:p>
    <w:p>
      <w:pPr/>
      <w:r>
        <w:t>Amira Dörfler, Rechtsanwältin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Mandatsumfang und noch fehlende Unterlagen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