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Westkamp Hallenbau GmbH</w:t>
        <w:br/>
        <w:t>Industrieweg 7, 59269 Beckum</w:t>
      </w:r>
    </w:p>
    <w:p>
      <w:r>
        <w:t>Hagedorn Präzisionsteile GmbH</w:t>
        <w:br/>
        <w:t>Werkstraße 18, 48231 Warendorf</w:t>
      </w:r>
    </w:p>
    <w:p>
      <w:r>
        <w:t>Beckum und Warendorf, 19. Februar 2026</w:t>
      </w:r>
    </w:p>
    <w:p>
      <w:pPr>
        <w:pStyle w:val="Title"/>
      </w:pPr>
      <w:r>
        <w:t>Vertrag über Tragwerk und Gebäudehülle</w:t>
      </w:r>
    </w:p>
    <w:p>
      <w:pPr>
        <w:pStyle w:val="Heading1"/>
        <w:keepNext/>
        <w:widowControl/>
        <w:spacing w:after="0"/>
      </w:pPr>
      <w:r>
        <w:t>1 Gegenstand</w:t>
      </w:r>
    </w:p>
    <w:p>
      <w:pPr>
        <w:keepNext/>
        <w:spacing w:before="0" w:after="0" w:line="220" w:lineRule="exact"/>
        <w:rPr>
          <w:sz w:val="22"/>
          <w:szCs w:val="22"/>
        </w:rPr>
      </w:pPr>
    </w:p>
    <w:p>
      <w:pPr>
        <w:widowControl/>
      </w:pPr>
      <w:r>
        <w:t>Westkamp Hallenbau GmbH errichtet auf dem Grundstück Werkstraße 18 das Stahltragwerk, Dach und Außenwände der 1.800 Quadratmeter großen Werkhalle gemäß Plan WH-04 vom 10. Februar 2026. Zum Tragwerk gehören Fundamente, Stützen, Binder und Aussteifung. Die Gebäudehülle umfasst gedämmte Dach- und Wandpaneele, vier Sektionaltore, Lichtbänder und die Dachentwässerung bis zum Übergabepunkt. Technische Gebäudeausrüstung, Stromversorgung, Außenanlagen und Maschinenmontage sind nicht enthalten.</w:t>
      </w:r>
    </w:p>
    <w:p>
      <w:pPr>
        <w:pStyle w:val="Heading1"/>
        <w:keepNext/>
        <w:widowControl/>
        <w:spacing w:after="0"/>
      </w:pPr>
      <w:r>
        <w:t>2 Vergütung und Zahlungen</w:t>
      </w:r>
    </w:p>
    <w:p>
      <w:pPr>
        <w:keepNext/>
        <w:spacing w:before="0" w:after="0" w:line="220" w:lineRule="exact"/>
        <w:rPr>
          <w:sz w:val="22"/>
          <w:szCs w:val="22"/>
        </w:rPr>
      </w:pPr>
    </w:p>
    <w:p>
      <w:pPr>
        <w:widowControl/>
      </w:pPr>
      <w:r>
        <w:t>Die Vergütung beträgt für das Tragwerk 630.000,00 EUR netto und für die Hülle 405.000,00 EUR netto. Umsatzsteuer wird mit 19 Prozent gesondert ausgewiesen. Abschlagsrechnungen weisen den bis zum Stichtag ausgeführten Leistungswert sowie sämtliche vorausgegangenen Rechnungen und Zahlungen aus. Die Bauleitung bestätigt die Mengen. Zahlungen sind 14 Kalendertage nach Eingang der prüfbaren Rechnung zu leisten. Es ist weder Skonto noch ein laufender Sicherheitseinbehalt vereinbart.</w:t>
      </w:r>
    </w:p>
    <w:p>
      <w:pPr>
        <w:pStyle w:val="Heading1"/>
        <w:keepNext/>
        <w:widowControl/>
        <w:spacing w:after="0"/>
      </w:pPr>
      <w:r>
        <w:t>3 Ablauf und Schnittstellen</w:t>
      </w:r>
    </w:p>
    <w:p>
      <w:pPr>
        <w:keepNext/>
        <w:spacing w:before="0" w:after="0" w:line="220" w:lineRule="exact"/>
        <w:rPr>
          <w:sz w:val="22"/>
          <w:szCs w:val="22"/>
        </w:rPr>
      </w:pPr>
    </w:p>
    <w:p>
      <w:pPr>
        <w:widowControl/>
      </w:pPr>
      <w:r>
        <w:t>Die Montage beginnt am 11. Mai. Die Halle soll am 16. Oktober wetterdicht und für den Innenausbau zugänglich sein. Die Bauherrin stellt ab dem 12. Oktober die vereinbarte elektrische Anschlussleistung bereit. Die für Maschinenversuche erforderliche Leistung von 450 kVA ist keine Leistung von Westkamp. Behinderungen und mögliche Umstellungen sind am selben Arbeitstag der Bauleitung mitzuteilen; daraus folgt noch keine zusätzliche Vergütungsfreigabe.</w:t>
      </w:r>
    </w:p>
    <w:p>
      <w:pPr>
        <w:pStyle w:val="Heading1"/>
        <w:keepNext/>
        <w:widowControl/>
        <w:spacing w:after="0"/>
      </w:pPr>
      <w:r>
        <w:t>4 Änderungen</w:t>
      </w:r>
    </w:p>
    <w:p>
      <w:pPr>
        <w:keepNext/>
        <w:spacing w:before="0" w:after="0" w:line="220" w:lineRule="exact"/>
        <w:rPr>
          <w:sz w:val="22"/>
          <w:szCs w:val="22"/>
        </w:rPr>
      </w:pPr>
    </w:p>
    <w:p>
      <w:pPr>
        <w:widowControl/>
      </w:pPr>
      <w:r>
        <w:t>Zusätzliche Leistungen werden vor Ausführung mit Beschreibung, Preis und Auswirkung auf die Termine angeboten. Die Bauherrin erteilt den Auftrag schriftlich durch ihre Geschäftsführerin. Terminprotokolle ersetzen keine Preisvereinbarung. Teilflächen dürfen nach Abstimmung vorab genutzt werden; hierdurch wird weder eine Schlussabnahme erklärt noch eine fehlende Prüfung ersetzt.</w:t>
      </w:r>
    </w:p>
    <w:p>
      <w:pPr>
        <w:widowControl/>
      </w:pPr>
      <w:r>
        <w:t>Für Westkamp: Henrik Westkamp. Für Hagedorn: Maren Hagedorn. Beide Parteien haben die Vertragsfassung am 19. Februar 2026 unterzeichnet.</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52"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Vertrag über Tragwerk und Gebäudehülle</dc:title>
  <dc:subject/>
  <dc:creator>Klotzkette</dc:creator>
  <cp:keywords/>
  <dc:description>generated by python-docx</dc:description>
  <cp:lastModifiedBy>Klotzkette</cp:lastModifiedBy>
  <cp:revision>1</cp:revision>
  <dcterms:created xsi:type="dcterms:W3CDTF">2026-09-25T16:00:00Z</dcterms:created>
  <dcterms:modified xsi:type="dcterms:W3CDTF">2026-09-25T16:00:00Z</dcterms:modified>
  <cp:category/>
  <dc:language>de-DE</dc:language>
</cp:coreProperties>
</file>