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Nora Brinkmann</w:t>
        <w:br/>
        <w:t>Kaufmännische Leitung</w:t>
      </w:r>
    </w:p>
    <w:p>
      <w:r>
        <w:t>25. September 2026, 16:00 Uhr</w:t>
      </w:r>
    </w:p>
    <w:p>
      <w:pPr>
        <w:pStyle w:val="Title"/>
      </w:pPr>
      <w:r>
        <w:t>Belegprüfung September</w:t>
      </w:r>
    </w:p>
    <w:p>
      <w:pPr>
        <w:pStyle w:val="Heading1"/>
        <w:keepNext/>
        <w:widowControl/>
        <w:spacing w:after="0"/>
      </w:pPr>
      <w:r>
        <w:t>1 Gegenstand</w:t>
      </w:r>
    </w:p>
    <w:p>
      <w:pPr>
        <w:keepNext/>
        <w:spacing w:before="0" w:after="0" w:line="220" w:lineRule="exact"/>
        <w:rPr>
          <w:sz w:val="22"/>
          <w:szCs w:val="22"/>
        </w:rPr>
      </w:pPr>
    </w:p>
    <w:p>
      <w:pPr>
        <w:widowControl/>
      </w:pPr>
      <w:r>
        <w:t>Wir übergeben die fünf Buchungsbelege des ausgewählten Septemberstapels mit den Leistungsnachweisen und Zahlungen. Der Stapel betrifft den Anbau einer Werkstatt in Bad Salzuflen und die Sanierung einer Ladenfläche in Lage. Die Unterlagen sind zur laufenden Rechnungsprüfung bestimmt. Sie sind weder ein vollständiger Jahresabschluss noch Grundlage für eine umfassende Wirtschaftsprüfung. Ausgangsrechnungen, Anlagevermögen und frühere Monate sind nur insoweit enthalten, wie sie einen Bankposten dieses Auszugs erklären.</w:t>
      </w:r>
    </w:p>
    <w:p>
      <w:pPr>
        <w:pStyle w:val="Heading1"/>
        <w:keepNext/>
        <w:widowControl/>
        <w:spacing w:after="0"/>
      </w:pPr>
      <w:r>
        <w:t>2 Abgrenzung</w:t>
      </w:r>
    </w:p>
    <w:p>
      <w:pPr>
        <w:keepNext/>
        <w:spacing w:before="0" w:after="0" w:line="220" w:lineRule="exact"/>
        <w:rPr>
          <w:sz w:val="22"/>
          <w:szCs w:val="22"/>
        </w:rPr>
      </w:pPr>
    </w:p>
    <w:p>
      <w:pPr>
        <w:widowControl/>
      </w:pPr>
      <w:r>
        <w:t>Die Lohnzusammenfassung betrifft August und wurde im September bezahlt. Ihre Projektstunden dürfen den Septemberrechnungen zur Kostenfortschreibung zugerechnet werden, sind aber keine Septemberlohnabrechnung. Der Bankauszug enthält sämtliche Umsätze vom 1. bis 25. September auf dem Betriebskonto. Der Zahlungseingang von 60.000,00 EUR betrifft eine bereits im August gebuchte Kundenrechnung; dieser Debitor ist nicht Teil des Kreditorenstapels.</w:t>
      </w:r>
    </w:p>
    <w:p>
      <w:pPr>
        <w:pStyle w:val="Heading1"/>
        <w:keepNext/>
        <w:widowControl/>
        <w:spacing w:after="0"/>
      </w:pPr>
      <w:r>
        <w:t>3 Aktueller Arbeitsstand</w:t>
      </w:r>
    </w:p>
    <w:p>
      <w:pPr>
        <w:keepNext/>
        <w:spacing w:before="0" w:after="0" w:line="220" w:lineRule="exact"/>
        <w:rPr>
          <w:sz w:val="22"/>
          <w:szCs w:val="22"/>
        </w:rPr>
      </w:pPr>
    </w:p>
    <w:p>
      <w:pPr>
        <w:widowControl/>
      </w:pPr>
      <w:r>
        <w:t>Die Rechnungsmappe enthält auch den erneut übersandten Baustoffbeleg. Unser Eingangsregister führt den Lieferantenbeleg unter ER-260908. Bei Seidel fehlt die Leistungsbestätigung des Bauleiters; die Rechnung wurde dennoch als Verbindlichkeit erfasst. Für den Bankposten mit Verwendungszweck Mietpark 09 hat das Büro noch keine Rechnung zugeordnet. Nora Brinkmann hat deshalb keine zweite Mietzahlung im Lieferantenkonto ausgeglichen.</w:t>
      </w:r>
    </w:p>
    <w:p>
      <w:pPr>
        <w:widowControl/>
      </w:pPr>
      <w:r>
        <w:t>Bitte besprechen Sie den beleggestützten Zahlungs- und Projektstand mit mir. Bankaufträge werden weiterhin ausschließlich im Vieraugenverfahren durch Geschäftsführung und kaufmännische Leitung freigegeben.</w:t>
      </w:r>
    </w:p>
    <w:p>
      <w:pPr>
        <w:widowControl/>
      </w:pPr>
      <w:r>
        <w:t>Tobias Mertens</w:t>
        <w:br/>
        <w:t>Geschäftsführer</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Belegprüfung September</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