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Bürgerhaus Leinewinkel e.V.</w:t>
      </w:r>
    </w:p>
    <w:p>
      <w:r>
        <w:t>Lindengasse 18 · 37574 Einbeck</w:t>
        <w:br/>
        <w:t>vorstand@buergerhaus-leinewinkel.de</w:t>
      </w:r>
    </w:p>
    <w:p>
      <w:r>
        <w:t>Hartwig Architektur</w:t>
        <w:br/>
        <w:t>Mühlenweg 7 · 37574 Einbeck</w:t>
      </w:r>
    </w:p>
    <w:p>
      <w:r>
        <w:t>Einbeck, 12.11.2020 · Bezug BH-21-04</w:t>
      </w:r>
    </w:p>
    <w:p>
      <w:pPr>
        <w:pStyle w:val="Title"/>
      </w:pPr>
      <w:r>
        <w:t>Bedarfsbeschluss zum Bürgerhaus</w:t>
      </w:r>
    </w:p>
    <w:p>
      <w:r>
        <w:t>Sehr geehrte Damen und Herren,</w:t>
      </w:r>
    </w:p>
    <w:p>
      <w:pPr>
        <w:keepLines/>
      </w:pPr>
      <w:r>
        <w:t>der Vorstand hat am 12.11.2020 von 18:30 bis 20:15 Uhr im bisherigen Vereinsraum über den Umbau beraten. Anwesend waren Maren Döring, Kassierer Uwe Feldmann, Schriftführerin Silke Bertram und Hauswart Ralf Winter. Alle vier stimmen dem nachstehenden Raum- und Finanzierungsrahmen zu. Die Mitgliederversammlung hat den Vorstand am 28.10.2020 zur Planungsvorbereitung ermächtigt.</w:t>
      </w:r>
    </w:p>
    <w:p>
      <w:pPr>
        <w:pStyle w:val="Heading1"/>
      </w:pPr>
      <w:r>
        <w:t>1 Nutzung und Bestand</w:t>
      </w:r>
    </w:p>
    <w:p>
      <w:pPr>
        <w:keepLines/>
      </w:pPr>
      <w:r>
        <w:t>Das eingeschossige Haus aus dem Jahr 1968 steht im Eigentum des Vereins. Der Saal wird für Seniorennachmittage, Chorproben und private Feiern genutzt. Die Belegung soll einschließlich Helfern 120 Personen nicht überschreiten. Im 24 m² großen Vereinsraum sind Besprechungen für höchstens 18 Personen vorgesehen, keine gewerbliche Küche und kein regelmäßiger Sportbetrieb. Der vorhandene Saal mit 120 m² muss erhalten bleiben.</w:t>
      </w:r>
    </w:p>
    <w:p>
      <w:pPr>
        <w:keepLines/>
      </w:pPr>
      <w:r>
        <w:t>Ein stufenfreier Zugang, ein barrierefrei nutzbares WC, getrennte weitere Sanitärräume und ein beheizbarer Eingangsbereich fehlen. Der alte Eingang liegt rund 60 cm über dem Hof. Bei Regen ist die Nordwand innen fleckig. Der Hauswart erinnert sich an eine Leitung zum inzwischen abgebauten Pumpenschacht, kennt ihren Verlauf jedoch nicht.</w:t>
      </w:r>
    </w:p>
    <w:p>
      <w:pPr>
        <w:pStyle w:val="Heading1"/>
      </w:pPr>
      <w:r>
        <w:t>2 Flächen und Finanzierung</w:t>
      </w:r>
    </w:p>
    <w:tbl>
      <w:tblPr>
        <w:tblStyle w:val="TableGrid"/>
        <w:tblW w:type="auto" w:w="0"/>
        <w:tblLook w:firstColumn="1" w:firstRow="1" w:lastColumn="0" w:lastRow="0" w:noHBand="0" w:noVBand="1" w:val="04A0"/>
      </w:tblPr>
      <w:tblGrid>
        <w:gridCol w:w="3213"/>
        <w:gridCol w:w="3213"/>
        <w:gridCol w:w="3213"/>
      </w:tblGrid>
      <w:tr>
        <w:trPr>
          <w:cantSplit/>
          <w:tblHeader/>
        </w:trPr>
        <w:tc>
          <w:tcPr>
            <w:tcW w:type="dxa" w:w="3213"/>
          </w:tcPr>
          <w:p>
            <w:r>
              <w:rPr>
                <w:b/>
                <w:sz w:val="20"/>
              </w:rPr>
              <w:t>Bedarf</w:t>
            </w:r>
          </w:p>
        </w:tc>
        <w:tc>
          <w:tcPr>
            <w:tcW w:type="dxa" w:w="3213"/>
          </w:tcPr>
          <w:p>
            <w:r>
              <w:rPr>
                <w:b/>
                <w:sz w:val="20"/>
              </w:rPr>
              <w:t>Nutzfläche</w:t>
            </w:r>
          </w:p>
        </w:tc>
        <w:tc>
          <w:tcPr>
            <w:tcW w:type="dxa" w:w="3213"/>
          </w:tcPr>
          <w:p>
            <w:r>
              <w:rPr>
                <w:b/>
                <w:sz w:val="20"/>
              </w:rPr>
              <w:t>Betriebliche Anforderung</w:t>
            </w:r>
          </w:p>
        </w:tc>
      </w:tr>
      <w:tr>
        <w:trPr>
          <w:cantSplit/>
        </w:trPr>
        <w:tc>
          <w:tcPr>
            <w:tcW w:type="dxa" w:w="3213"/>
          </w:tcPr>
          <w:p>
            <w:r>
              <w:rPr>
                <w:b w:val="0"/>
                <w:sz w:val="20"/>
              </w:rPr>
              <w:t>Saal im Bestand</w:t>
            </w:r>
          </w:p>
        </w:tc>
        <w:tc>
          <w:tcPr>
            <w:tcW w:type="dxa" w:w="3213"/>
          </w:tcPr>
          <w:p>
            <w:r>
              <w:rPr>
                <w:b w:val="0"/>
                <w:sz w:val="20"/>
              </w:rPr>
              <w:t>120 m²</w:t>
            </w:r>
          </w:p>
        </w:tc>
        <w:tc>
          <w:tcPr>
            <w:tcW w:type="dxa" w:w="3213"/>
          </w:tcPr>
          <w:p>
            <w:r>
              <w:rPr>
                <w:b w:val="0"/>
                <w:sz w:val="20"/>
              </w:rPr>
              <w:t>Bestuhlung für 96 Gäste und bis zu 24 Helfer</w:t>
            </w:r>
          </w:p>
        </w:tc>
      </w:tr>
      <w:tr>
        <w:trPr>
          <w:cantSplit/>
        </w:trPr>
        <w:tc>
          <w:tcPr>
            <w:tcW w:type="dxa" w:w="3213"/>
          </w:tcPr>
          <w:p>
            <w:r>
              <w:rPr>
                <w:b w:val="0"/>
                <w:sz w:val="20"/>
              </w:rPr>
              <w:t>Vereinsraum</w:t>
            </w:r>
          </w:p>
        </w:tc>
        <w:tc>
          <w:tcPr>
            <w:tcW w:type="dxa" w:w="3213"/>
          </w:tcPr>
          <w:p>
            <w:r>
              <w:rPr>
                <w:b w:val="0"/>
                <w:sz w:val="20"/>
              </w:rPr>
              <w:t>24 m²</w:t>
            </w:r>
          </w:p>
        </w:tc>
        <w:tc>
          <w:tcPr>
            <w:tcW w:type="dxa" w:w="3213"/>
          </w:tcPr>
          <w:p>
            <w:r>
              <w:rPr>
                <w:b w:val="0"/>
                <w:sz w:val="20"/>
              </w:rPr>
              <w:t>18 Sitzplätze, abschließbarer Schrank</w:t>
            </w:r>
          </w:p>
        </w:tc>
      </w:tr>
      <w:tr>
        <w:trPr>
          <w:cantSplit/>
        </w:trPr>
        <w:tc>
          <w:tcPr>
            <w:tcW w:type="dxa" w:w="3213"/>
          </w:tcPr>
          <w:p>
            <w:r>
              <w:rPr>
                <w:b w:val="0"/>
                <w:sz w:val="20"/>
              </w:rPr>
              <w:t>Anbau</w:t>
            </w:r>
          </w:p>
        </w:tc>
        <w:tc>
          <w:tcPr>
            <w:tcW w:type="dxa" w:w="3213"/>
          </w:tcPr>
          <w:p>
            <w:r>
              <w:rPr>
                <w:b w:val="0"/>
                <w:sz w:val="20"/>
              </w:rPr>
              <w:t>etwa 65 bis 70 m²</w:t>
            </w:r>
          </w:p>
        </w:tc>
        <w:tc>
          <w:tcPr>
            <w:tcW w:type="dxa" w:w="3213"/>
          </w:tcPr>
          <w:p>
            <w:r>
              <w:rPr>
                <w:b w:val="0"/>
                <w:sz w:val="20"/>
              </w:rPr>
              <w:t>Foyer, Sanitär, Lager und Technik</w:t>
            </w:r>
          </w:p>
        </w:tc>
      </w:tr>
      <w:tr>
        <w:trPr>
          <w:cantSplit/>
        </w:trPr>
        <w:tc>
          <w:tcPr>
            <w:tcW w:type="dxa" w:w="3213"/>
          </w:tcPr>
          <w:p>
            <w:r>
              <w:rPr>
                <w:b w:val="0"/>
                <w:sz w:val="20"/>
              </w:rPr>
              <w:t>Außenbereich</w:t>
            </w:r>
          </w:p>
        </w:tc>
        <w:tc>
          <w:tcPr>
            <w:tcW w:type="dxa" w:w="3213"/>
          </w:tcPr>
          <w:p>
            <w:r>
              <w:rPr>
                <w:b w:val="0"/>
                <w:sz w:val="20"/>
              </w:rPr>
              <w:t>etwa 300 m²</w:t>
            </w:r>
          </w:p>
        </w:tc>
        <w:tc>
          <w:tcPr>
            <w:tcW w:type="dxa" w:w="3213"/>
          </w:tcPr>
          <w:p>
            <w:r>
              <w:rPr>
                <w:b w:val="0"/>
                <w:sz w:val="20"/>
              </w:rPr>
              <w:t>Rampe, Lieferzugang und Fahrradplätze</w:t>
            </w:r>
          </w:p>
        </w:tc>
      </w:tr>
    </w:tbl>
    <w:p/>
    <w:p>
      <w:pPr>
        <w:keepLines/>
      </w:pPr>
      <w:r>
        <w:t>Der Verein setzt zunächst 430.000,00 EUR einschließlich Umsatzsteuer als verfügbaren Gesamtrahmen an. 180.000,00 EUR stammen aus Rücklagen und zugesagten Spenden, 150.000,00 EUR aus einem zugesagten Vereinsdarlehen und 100.000,00 EUR aus weiteren verbindlich zugesagten privaten Zuwendungen. Es werden keine öffentlichen Fördermittel beantragt. Eigenleistungen sind nur für bewegliche Ausstattung vorgesehen und dürfen die Baukalkulation nicht vermindern.</w:t>
      </w:r>
    </w:p>
    <w:p>
      <w:pPr>
        <w:pStyle w:val="Heading1"/>
      </w:pPr>
      <w:r>
        <w:t>3 Auftrag zur Vorbereitung</w:t>
      </w:r>
    </w:p>
    <w:p>
      <w:pPr>
        <w:keepLines/>
      </w:pPr>
      <w:r>
        <w:t>Frau Hartwig soll einen Vertragsvorschlag für Gebäudeplanung sowie Vorschläge für Tragwerks- und Haustechnikplanung vorlegen. Vor Öffnung von Wänden ist ein gesonderter Untersuchungstermin abzustimmen. Der Chor kann während des Baus in die benachbarte Gaststätte ausweichen; das Archiv und die vereinseigene Küche werden vor Baubeginn geräumt. Die Fertigstellung wird für Frühjahr 2024 angestrebt. Eine Baustellenöffnung im Winter wird nicht vorausgesetzt.</w:t>
      </w:r>
    </w:p>
    <w:p>
      <w:pPr>
        <w:keepNext/>
      </w:pPr>
      <w:r>
        <w:t>Mit freundlichen Grüßen</w:t>
      </w:r>
    </w:p>
    <w:p>
      <w:pPr>
        <w:keepNext/>
      </w:pPr>
      <w:r>
        <w:t>gez. Maren Döring, Vorsitzende; Silke Bertram, Schriftführerin</w:t>
      </w:r>
    </w:p>
    <w:p>
      <w:r>
        <w:t>Anlagen: keine</w:t>
      </w:r>
    </w:p>
    <w:sectPr w:rsidR="00FC693F" w:rsidRPr="0006063C" w:rsidSect="00034616">
      <w:footerReference w:type="default" r:id="rId9"/>
      <w:pgSz w:w="11906" w:h="16838"/>
      <w:pgMar w:top="964" w:right="1134" w:bottom="1247" w:left="1134"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BH-21-04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20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40"/>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40"/>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40"/>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40"/>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40"/>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40"/>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40" w:line="240"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cstheme="majorBidi" w:ascii="Times New Roman" w:hAnsi="Times New Roman" w:eastAsia="Times New Roman" w:cs="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40"/>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40"/>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40" w:line="480"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40"/>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40"/>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40"/>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40"/>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40"/>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40"/>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40"/>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40"/>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40"/>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40"/>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40"/>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40"/>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40"/>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40"/>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40"/>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40"/>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40"/>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Bedarfsbeschluss zum Bürgerhaus</dc:title>
  <dc:subject/>
  <dc:creator>Klotzkette</dc:creator>
  <cp:keywords/>
  <dc:description>generated by python-docx</dc:description>
  <cp:lastModifiedBy>Klotzkette</cp:lastModifiedBy>
  <cp:revision>1</cp:revision>
  <dcterms:created xsi:type="dcterms:W3CDTF">2020-11-12T00:00:00Z</dcterms:created>
  <dcterms:modified xsi:type="dcterms:W3CDTF">2020-11-12T00:00:00Z</dcterms:modified>
  <cp:category/>
  <dc:language>de-DE</dc:language>
</cp:coreProperties>
</file>