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Hartwig Architektur</w:t>
      </w:r>
    </w:p>
    <w:p>
      <w:r>
        <w:t>Mühlenweg 7 · 37574 Einbeck</w:t>
        <w:br/>
        <w:t>projekt@hartwig-architektur.de</w:t>
      </w:r>
    </w:p>
    <w:p>
      <w:r>
        <w:t>Bürgerhaus Leinewinkel e.V.</w:t>
        <w:br/>
        <w:t>Lindengasse 18 · 37574 Einbeck</w:t>
      </w:r>
    </w:p>
    <w:p>
      <w:r>
        <w:t>Einbeck, 21.09.2026 · Bezug BH-21-04</w:t>
      </w:r>
    </w:p>
    <w:p>
      <w:pPr>
        <w:pStyle w:val="Title"/>
      </w:pPr>
      <w:r>
        <w:t>Feststellung zur laufenden Gewährleistung</w:t>
      </w:r>
    </w:p>
    <w:p>
      <w:r>
        <w:t>Sehr geehrte Damen und Herren,</w:t>
      </w:r>
    </w:p>
    <w:p>
      <w:pPr>
        <w:keepLines/>
      </w:pPr>
      <w:r>
        <w:t>im Anschluss an die Begehung vom 17.09.2026 erhalten Sie die fortgeschriebene gewerkeweise Übersicht und die fachliche Zuordnung der offenen Punkte. Die Übersicht dokumentiert den heutigen Aktenstand. Sie entscheidet weder den Streit um Verursachung noch rechtliche Fragen zu einer Veränderung des Fristlaufs.</w:t>
      </w:r>
    </w:p>
    <w:p>
      <w:pPr>
        <w:pStyle w:val="Heading1"/>
      </w:pPr>
      <w:r>
        <w:t>1 Gewerkeweise Ausgangsdaten</w:t>
      </w:r>
    </w:p>
    <w:tbl>
      <w:tblPr>
        <w:tblStyle w:val="TableGrid"/>
        <w:tblW w:type="auto" w:w="0"/>
        <w:tblLook w:firstColumn="1" w:firstRow="1" w:lastColumn="0" w:lastRow="0" w:noHBand="0" w:noVBand="1" w:val="04A0"/>
      </w:tblPr>
      <w:tblGrid>
        <w:gridCol w:w="3213"/>
        <w:gridCol w:w="3213"/>
        <w:gridCol w:w="3213"/>
      </w:tblGrid>
      <w:tr>
        <w:trPr>
          <w:cantSplit/>
          <w:tblHeader/>
        </w:trPr>
        <w:tc>
          <w:tcPr>
            <w:tcW w:type="dxa" w:w="3213"/>
          </w:tcPr>
          <w:p>
            <w:r>
              <w:rPr>
                <w:b/>
                <w:sz w:val="20"/>
              </w:rPr>
              <w:t>Gewerk und Beleg</w:t>
            </w:r>
          </w:p>
        </w:tc>
        <w:tc>
          <w:tcPr>
            <w:tcW w:type="dxa" w:w="3213"/>
          </w:tcPr>
          <w:p>
            <w:r>
              <w:rPr>
                <w:b/>
                <w:sz w:val="20"/>
              </w:rPr>
              <w:t>Abnahme</w:t>
            </w:r>
          </w:p>
        </w:tc>
        <w:tc>
          <w:tcPr>
            <w:tcW w:type="dxa" w:w="3213"/>
          </w:tcPr>
          <w:p>
            <w:r>
              <w:rPr>
                <w:b/>
                <w:sz w:val="20"/>
              </w:rPr>
              <w:t>Vertragsdauer / rechnerisches Ende</w:t>
            </w:r>
          </w:p>
        </w:tc>
      </w:tr>
      <w:tr>
        <w:trPr>
          <w:cantSplit/>
        </w:trPr>
        <w:tc>
          <w:tcPr>
            <w:tcW w:type="dxa" w:w="3213"/>
          </w:tcPr>
          <w:p>
            <w:r>
              <w:rPr>
                <w:b w:val="0"/>
                <w:sz w:val="20"/>
              </w:rPr>
              <w:t>Leinebau, Vertrag 18.04.2023 und Abnahmeprotokoll</w:t>
            </w:r>
          </w:p>
        </w:tc>
        <w:tc>
          <w:tcPr>
            <w:tcW w:type="dxa" w:w="3213"/>
          </w:tcPr>
          <w:p>
            <w:r>
              <w:rPr>
                <w:b w:val="0"/>
                <w:sz w:val="20"/>
              </w:rPr>
              <w:t>18.03.2024</w:t>
            </w:r>
          </w:p>
        </w:tc>
        <w:tc>
          <w:tcPr>
            <w:tcW w:type="dxa" w:w="3213"/>
          </w:tcPr>
          <w:p>
            <w:r>
              <w:rPr>
                <w:b w:val="0"/>
                <w:sz w:val="20"/>
              </w:rPr>
              <w:t>5 Jahre / 18.03.2029</w:t>
            </w:r>
          </w:p>
        </w:tc>
      </w:tr>
      <w:tr>
        <w:trPr>
          <w:cantSplit/>
        </w:trPr>
        <w:tc>
          <w:tcPr>
            <w:tcW w:type="dxa" w:w="3213"/>
          </w:tcPr>
          <w:p>
            <w:r>
              <w:rPr>
                <w:b w:val="0"/>
                <w:sz w:val="20"/>
              </w:rPr>
              <w:t>Heizung und Sanitär, Register R-01 Nr. 2</w:t>
            </w:r>
          </w:p>
        </w:tc>
        <w:tc>
          <w:tcPr>
            <w:tcW w:type="dxa" w:w="3213"/>
          </w:tcPr>
          <w:p>
            <w:r>
              <w:rPr>
                <w:b w:val="0"/>
                <w:sz w:val="20"/>
              </w:rPr>
              <w:t>22.03.2024</w:t>
            </w:r>
          </w:p>
        </w:tc>
        <w:tc>
          <w:tcPr>
            <w:tcW w:type="dxa" w:w="3213"/>
          </w:tcPr>
          <w:p>
            <w:r>
              <w:rPr>
                <w:b w:val="0"/>
                <w:sz w:val="20"/>
              </w:rPr>
              <w:t>5 Jahre / 22.03.2029</w:t>
            </w:r>
          </w:p>
        </w:tc>
      </w:tr>
      <w:tr>
        <w:trPr>
          <w:cantSplit/>
        </w:trPr>
        <w:tc>
          <w:tcPr>
            <w:tcW w:type="dxa" w:w="3213"/>
          </w:tcPr>
          <w:p>
            <w:r>
              <w:rPr>
                <w:b w:val="0"/>
                <w:sz w:val="20"/>
              </w:rPr>
              <w:t>Elektro, Register R-01 Nr. 3</w:t>
            </w:r>
          </w:p>
        </w:tc>
        <w:tc>
          <w:tcPr>
            <w:tcW w:type="dxa" w:w="3213"/>
          </w:tcPr>
          <w:p>
            <w:r>
              <w:rPr>
                <w:b w:val="0"/>
                <w:sz w:val="20"/>
              </w:rPr>
              <w:t>25.03.2024</w:t>
            </w:r>
          </w:p>
        </w:tc>
        <w:tc>
          <w:tcPr>
            <w:tcW w:type="dxa" w:w="3213"/>
          </w:tcPr>
          <w:p>
            <w:r>
              <w:rPr>
                <w:b w:val="0"/>
                <w:sz w:val="20"/>
              </w:rPr>
              <w:t>5 Jahre / 25.03.2029</w:t>
            </w:r>
          </w:p>
        </w:tc>
      </w:tr>
      <w:tr>
        <w:trPr>
          <w:cantSplit/>
        </w:trPr>
        <w:tc>
          <w:tcPr>
            <w:tcW w:type="dxa" w:w="3213"/>
          </w:tcPr>
          <w:p>
            <w:r>
              <w:rPr>
                <w:b w:val="0"/>
                <w:sz w:val="20"/>
              </w:rPr>
              <w:t>Fenster und Ausbau, Register R-01 Nr. 4</w:t>
            </w:r>
          </w:p>
        </w:tc>
        <w:tc>
          <w:tcPr>
            <w:tcW w:type="dxa" w:w="3213"/>
          </w:tcPr>
          <w:p>
            <w:r>
              <w:rPr>
                <w:b w:val="0"/>
                <w:sz w:val="20"/>
              </w:rPr>
              <w:t>27.03.2024</w:t>
            </w:r>
          </w:p>
        </w:tc>
        <w:tc>
          <w:tcPr>
            <w:tcW w:type="dxa" w:w="3213"/>
          </w:tcPr>
          <w:p>
            <w:r>
              <w:rPr>
                <w:b w:val="0"/>
                <w:sz w:val="20"/>
              </w:rPr>
              <w:t>5 Jahre / 27.03.2029</w:t>
            </w:r>
          </w:p>
        </w:tc>
      </w:tr>
      <w:tr>
        <w:trPr>
          <w:cantSplit/>
        </w:trPr>
        <w:tc>
          <w:tcPr>
            <w:tcW w:type="dxa" w:w="3213"/>
          </w:tcPr>
          <w:p>
            <w:r>
              <w:rPr>
                <w:b w:val="0"/>
                <w:sz w:val="20"/>
              </w:rPr>
              <w:t>Außenanlagen, Register R-01 Nr. 5</w:t>
            </w:r>
          </w:p>
        </w:tc>
        <w:tc>
          <w:tcPr>
            <w:tcW w:type="dxa" w:w="3213"/>
          </w:tcPr>
          <w:p>
            <w:r>
              <w:rPr>
                <w:b w:val="0"/>
                <w:sz w:val="20"/>
              </w:rPr>
              <w:t>02.04.2024</w:t>
            </w:r>
          </w:p>
        </w:tc>
        <w:tc>
          <w:tcPr>
            <w:tcW w:type="dxa" w:w="3213"/>
          </w:tcPr>
          <w:p>
            <w:r>
              <w:rPr>
                <w:b w:val="0"/>
                <w:sz w:val="20"/>
              </w:rPr>
              <w:t>5 Jahre / 02.04.2029</w:t>
            </w:r>
          </w:p>
        </w:tc>
      </w:tr>
      <w:tr>
        <w:trPr>
          <w:cantSplit/>
        </w:trPr>
        <w:tc>
          <w:tcPr>
            <w:tcW w:type="dxa" w:w="3213"/>
          </w:tcPr>
          <w:p>
            <w:r>
              <w:rPr>
                <w:b w:val="0"/>
                <w:sz w:val="20"/>
              </w:rPr>
              <w:t>Architektur, Vertrag 18.01.2021</w:t>
            </w:r>
          </w:p>
        </w:tc>
        <w:tc>
          <w:tcPr>
            <w:tcW w:type="dxa" w:w="3213"/>
          </w:tcPr>
          <w:p>
            <w:r>
              <w:rPr>
                <w:b w:val="0"/>
                <w:sz w:val="20"/>
              </w:rPr>
              <w:t>Keine gesonderte Erklärung in der vorliegenden Mappe</w:t>
            </w:r>
          </w:p>
        </w:tc>
        <w:tc>
          <w:tcPr>
            <w:tcW w:type="dxa" w:w="3213"/>
          </w:tcPr>
          <w:p>
            <w:r>
              <w:rPr>
                <w:b w:val="0"/>
                <w:sz w:val="20"/>
              </w:rPr>
              <w:t>Fristbeginn nicht aus der Gebäudeübergabe übernommen</w:t>
            </w:r>
          </w:p>
        </w:tc>
      </w:tr>
    </w:tbl>
    <w:p/>
    <w:p>
      <w:pPr>
        <w:keepLines/>
      </w:pPr>
      <w:r>
        <w:t>Die Daten 2029 sind ausschließlich rechnerische Kontrolltermine aus den dokumentierten Vertragsangaben, keine künftig eingetretenen Ereignisse. Die Registerangaben der anderen Gewerke sind vor einer Fristentscheidung mit den dort bezeichneten Originalen abzugleichen. Die Mängelmeldung vom 08.09.2026 wird nicht als automatische Verlängerung aller Fristen verbucht. Die Vereinbarung eines späteren Untersuchungstermins allein wird ebenfalls nicht als abschließende rechtliche Aussage zum Fristlauf behandelt.</w:t>
      </w:r>
    </w:p>
    <w:p>
      <w:pPr>
        <w:pStyle w:val="Heading1"/>
      </w:pPr>
      <w:r>
        <w:t>2 Technischer Stand</w:t>
      </w:r>
    </w:p>
    <w:p>
      <w:pPr>
        <w:keepLines/>
      </w:pPr>
      <w:r>
        <w:t>Die 2024 bei Abnahme festgehaltenen Punkte M-01 und M-02 wurden laut Übergabeprotokoll am 28.03.2024 nachkontrolliert. Das jetzige Wasserbild am Eingang ist neu aufzunehmen; der feste Rost am Begehungstag beweist nicht die ausreichende Entwässerung. Der Wandbefund liegt im alten Saal und kann nicht ohne Untersuchung dem Anbau oder allein dem Bestand zugerechnet werden. Die angebotene Sockelabdichtung und die ausgeschlossene Horizontalsperre sind bei der technischen Prüfung auseinanderzuhalten.</w:t>
      </w:r>
    </w:p>
    <w:p>
      <w:pPr>
        <w:pStyle w:val="Heading1"/>
      </w:pPr>
      <w:r>
        <w:t>3 Weitere Betreuung und Sicherheiten</w:t>
      </w:r>
    </w:p>
    <w:p>
      <w:pPr>
        <w:keepLines/>
      </w:pPr>
      <w:r>
        <w:t>Der Verein hat noch keinen Auftrag zur Bauteilöffnung erteilt. Leinebau hat kein Anerkenntnis abgegeben. Die Architektin hält die getrennte Aufnahme von Höhenanschluss, Rohrdurchgang und Wandaufbau für notwendig, bevor ein Sanierungsumfang bestimmt wird. Die Rückmeldung der Beteiligten ist offen. Nach dem Bauvertrag Los 1 besteht keine Gewährleistungsbürgschaft und kein pauschaler Gewährleistungseinbehalt; insoweit ist heute nichts freizugeben.</w:t>
      </w:r>
    </w:p>
    <w:p>
      <w:pPr>
        <w:keepLines/>
      </w:pPr>
      <w:r>
        <w:t>Die nächste Fristenkontrolle wird für September 2027 im Büro vorgemerkt. Eine weitere Begehung rechtzeitig vor den jeweiligen gewerkeweisen Endterminen bleibt vertraglich vorgesehen. Diese Vormerkung dokumentiert nur einen künftigen Arbeitsbedarf, keinen bereits eingetretenen Schaden. Dem Vorstand wird die vollständige Begehungsniederschrift übergeben; eine abschließende Sanierungs- oder Haftungsentscheidung enthält die heutige Feststellung nicht.</w:t>
      </w:r>
    </w:p>
    <w:p>
      <w:pPr>
        <w:keepNext/>
      </w:pPr>
      <w:r>
        <w:t>Mit freundlichen Grüßen</w:t>
      </w:r>
    </w:p>
    <w:p>
      <w:pPr>
        <w:keepNext/>
      </w:pPr>
      <w:r>
        <w:t>gez. Lena Hartwig, Architektin</w:t>
      </w:r>
    </w:p>
    <w:p>
      <w:r>
        <w:t>Anlagen: 43_2026-09-17_Objektbegehung.pdf; 39_2024-04-05_Übergabe.docx; 40_2024-04-08_Archivverzeichnis.txt</w:t>
      </w:r>
    </w:p>
    <w:sectPr w:rsidR="00FC693F" w:rsidRPr="0006063C" w:rsidSect="00034616">
      <w:footerReference w:type="default" r:id="rId9"/>
      <w:pgSz w:w="11906" w:h="16838"/>
      <w:pgMar w:top="964" w:right="1134" w:bottom="1247" w:left="1134"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BH-21-04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20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40"/>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40"/>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40"/>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40"/>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40"/>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40"/>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40" w:line="240"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cstheme="majorBidi" w:ascii="Times New Roman" w:hAnsi="Times New Roman" w:eastAsia="Times New Roman" w:cs="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40"/>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40"/>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40" w:line="480"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40"/>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40"/>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40"/>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40"/>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40"/>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40"/>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40"/>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40"/>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40"/>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40"/>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40"/>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40"/>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40"/>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40"/>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40"/>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40"/>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40"/>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Feststellung zur laufenden Gewährleistung</dc:title>
  <dc:subject/>
  <dc:creator>Klotzkette</dc:creator>
  <cp:keywords/>
  <dc:description>generated by python-docx</dc:description>
  <cp:lastModifiedBy>Klotzkette</cp:lastModifiedBy>
  <cp:revision>1</cp:revision>
  <dcterms:created xsi:type="dcterms:W3CDTF">2026-09-21T00:00:00Z</dcterms:created>
  <dcterms:modified xsi:type="dcterms:W3CDTF">2026-09-21T00:00:00Z</dcterms:modified>
  <cp:category/>
  <dc:language>de-DE</dc:language>
</cp:coreProperties>
</file>