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36"/>
          <w:rFonts w:ascii="Times New Roman" w:hAnsi="Times New Roman" w:cs="Times New Roman" w:eastAsia="Times New Roman"/>
        </w:rPr>
        <w:t>02 Cap Table und Gesellschafterliste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1. Gesellschaft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Kometenfalter Systems GmbH Sitz: Frankfurt am Main Stammkapital: 30.000 EUR Geschäftsanteile: lfd. Nr. 1 bis 30.000, jeweils 1 EUR Nennbetrag Gegenstand: Entwicklung und Vertrieb von Software zur automatisierten Energieoptimierung in Gewerbeimmobilien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2. Aktuelle Gesellschafterliste laut Notarentwurf vom 18.05.2026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Gesellschafter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Geschäftsanteile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Nennbetrag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Prozent nominal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Kunigunde Reiter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Nr. 1 bis 12.000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12.000 EUR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40,00 %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Meinhard Voss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Nr. 12.001 bis 21.000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9.000 EUR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30,00 %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Walburga Stein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Nr. 21.001 bis 27.000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6.000 EUR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20,00 %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Stahlauge Ventures GmbH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Nr. 27.001 bis 30.000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3.000 EUR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10,00 %</w:t>
            </w:r>
          </w:p>
        </w:tc>
      </w:tr>
    </w:tbl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3. Interner Cap Table der Gesellschaft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Beteiligter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Current Shares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Current %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Notizen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Kunigunde Reiter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12.000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40,00 %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Gründerin CEO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Meinhard Voss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9.000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30,00 %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Gründer CTO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Walburga Stein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6.000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20,00 %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Gründerin Product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Stahlauge Ventures GmbH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3.000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10,00 %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Seed-Investor, 1x non-participating preference im Seed-SHA behauptet</w:t>
            </w:r>
          </w:p>
        </w:tc>
      </w:tr>
    </w:tbl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4. Geplante Series A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Northbridge Growth III SCS: Investment 4.800.000 EUR.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Siegfried Krämer Angel Pool: Investment 400.000 EUR.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Pre-money valuation laut Term Sheet: 12.000.000 EUR.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Option Pool soll "increased to 12 percent on a fully diluted pre-money basis" werden.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Bestehendes VSOP-Programm: 900 virtuelle Anteile zugesagt, davon 360 vested.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Wandeldarlehen von Tante Ermelind Capital UG: 600.000 EUR principal, 8 Prozent Zins, 20 Prozent Discount, Valuation Cap 10.000.000 EUR, Wandlung bei Qualified Financing über 3.000.000 EUR.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5. Offene Punkte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rFonts w:ascii="Times New Roman" w:hAnsi="Times New Roman" w:cs="Times New Roman" w:eastAsia="Times New Roman"/>
          <w:sz w:val="22"/>
        </w:rPr>
        <w:t>Der Cap Table der CFO-Datei enthält bereits "Series A Shares", obwohl die Kapitalerhöhung noch nicht beschlossen ist.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rFonts w:ascii="Times New Roman" w:hAnsi="Times New Roman" w:cs="Times New Roman" w:eastAsia="Times New Roman"/>
          <w:sz w:val="22"/>
        </w:rPr>
        <w:t>Der Option Pool ist in der Gesellschafterliste nicht sichtbar.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rFonts w:ascii="Times New Roman" w:hAnsi="Times New Roman" w:cs="Times New Roman" w:eastAsia="Times New Roman"/>
          <w:sz w:val="22"/>
        </w:rPr>
        <w:t>Das Wandeldarlehen ist in der Gesellschafterliste ebenfalls nicht sichtbar.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4. </w:t>
      </w:r>
      <w:r>
        <w:rPr>
          <w:rFonts w:ascii="Times New Roman" w:hAnsi="Times New Roman" w:cs="Times New Roman" w:eastAsia="Times New Roman"/>
          <w:sz w:val="22"/>
        </w:rPr>
        <w:t>Northbridge rechnet den Option Pool pre-money, Kunigunde hatte post-money verstanden.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5. </w:t>
      </w:r>
      <w:r>
        <w:rPr>
          <w:rFonts w:ascii="Times New Roman" w:hAnsi="Times New Roman" w:cs="Times New Roman" w:eastAsia="Times New Roman"/>
          <w:sz w:val="22"/>
        </w:rPr>
        <w:t>Der Seed-Investor verlangt, dass seine Seed-Präferenz in der Series-A-Dokumentation bestätigt wird.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6. Cap Table v19 — saubere Trennung nach Slack-Thread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(a) V19a Current Cap Table, Stand 28.05.2026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Position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Geschäftsanteile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Prozent stamm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Bemerkung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Kunigunde Reiter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12.000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40,00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Stammanteile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Meinhard Voss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9.000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30,00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Stammanteile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Walburga Stein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6.000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20,00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Stammanteile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Stahlauge Ventures GmbH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3.000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10,00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Seed-Vorzugsanteile, 1x non-participating preference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b/>
                <w:rFonts w:ascii="Times New Roman" w:hAnsi="Times New Roman" w:cs="Times New Roman" w:eastAsia="Times New Roman"/>
                <w:sz w:val="20"/>
              </w:rPr>
              <w:t>Summe ausgegeben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b/>
                <w:rFonts w:ascii="Times New Roman" w:hAnsi="Times New Roman" w:cs="Times New Roman" w:eastAsia="Times New Roman"/>
                <w:sz w:val="20"/>
              </w:rPr>
              <w:t>30.000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b/>
                <w:rFonts w:ascii="Times New Roman" w:hAnsi="Times New Roman" w:cs="Times New Roman" w:eastAsia="Times New Roman"/>
                <w:sz w:val="20"/>
              </w:rPr>
              <w:t>100,00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entspricht Stammkapital 30.000 EUR</w:t>
            </w:r>
          </w:p>
        </w:tc>
      </w:tr>
    </w:tbl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VSOP: 900 virtuelle Anteile zugesagt, davon 360 vested. Keine echten Geschäftsanteile. Cap-Table-Block separat, nicht in Summe oben.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Wandeldarlehen Tante Ermelind: Principal 600.000 EUR plus aufgelaufene Zinsen ca. 100.000 EUR per Stand 28.05.2026. Convertible, nicht in Summe oben.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(b) V19b Projected Post-Closing Cap Table (Szenario 1: Pool 12 Prozent pre-money)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Annahmen Szenario 1: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Pre-Money 12.000.000 EUR auf fully diluted Basis.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Pool wird </w:t>
      </w:r>
      <w:r>
        <w:rPr>
          <w:b/>
          <w:rFonts w:ascii="Times New Roman" w:hAnsi="Times New Roman" w:cs="Times New Roman" w:eastAsia="Times New Roman"/>
          <w:sz w:val="22"/>
        </w:rPr>
        <w:t>vor</w:t>
      </w:r>
      <w:r>
        <w:rPr>
          <w:rFonts w:ascii="Times New Roman" w:hAnsi="Times New Roman" w:cs="Times New Roman" w:eastAsia="Times New Roman"/>
          <w:sz w:val="22"/>
        </w:rPr>
        <w:t xml:space="preserve"> Investment auf 12 Prozent fully diluted pre-money erweitert.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Tante-Ermelind-Wandlung greift Valuation-Cap (10 Mio. EUR pre-money fully diluted).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Series-A-Subscription 5.200.000 EUR.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Pre-Money implizit nach Pool-Aufstockung und Convertible-Wandlung etwa 12 Mio. EUR.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Position</w:t>
            </w:r>
          </w:p>
        </w:tc>
        <w:tc>
          <w:tcPr>
            <w:tcW w:type="dxa" w:w="1814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Anteile vor Series A nach Pool-Shuffle</w:t>
            </w:r>
          </w:p>
        </w:tc>
        <w:tc>
          <w:tcPr>
            <w:tcW w:type="dxa" w:w="1814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Prozent pre-money fully diluted</w:t>
            </w:r>
          </w:p>
        </w:tc>
        <w:tc>
          <w:tcPr>
            <w:tcW w:type="dxa" w:w="1814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Anteile nach Series A</w:t>
            </w:r>
          </w:p>
        </w:tc>
        <w:tc>
          <w:tcPr>
            <w:tcW w:type="dxa" w:w="1814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Prozent post-money fully diluted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Kunigunde Reiter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12.000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28,78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12.000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20,08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Meinhard Voss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9.000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21,58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9.000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15,06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Walburga Stein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6.000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14,39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6.000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10,04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Stahlauge Ventures GmbH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3.000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7,19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3.000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5,02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Option Pool reserviert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5.000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11,99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5.000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8,37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Tante Ermelind aus Wandlung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6.700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16,07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6.700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11,21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Series A Northbridge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16.679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27,91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Series A Krämer Angels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1.390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2,33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b/>
                <w:rFonts w:ascii="Times New Roman" w:hAnsi="Times New Roman" w:cs="Times New Roman" w:eastAsia="Times New Roman"/>
                <w:sz w:val="20"/>
              </w:rPr>
              <w:t>Fully Diluted Summe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b/>
                <w:rFonts w:ascii="Times New Roman" w:hAnsi="Times New Roman" w:cs="Times New Roman" w:eastAsia="Times New Roman"/>
                <w:sz w:val="20"/>
              </w:rPr>
              <w:t>41.700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b/>
                <w:rFonts w:ascii="Times New Roman" w:hAnsi="Times New Roman" w:cs="Times New Roman" w:eastAsia="Times New Roman"/>
                <w:sz w:val="20"/>
              </w:rPr>
              <w:t>100,00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b/>
                <w:rFonts w:ascii="Times New Roman" w:hAnsi="Times New Roman" w:cs="Times New Roman" w:eastAsia="Times New Roman"/>
                <w:sz w:val="20"/>
              </w:rPr>
              <w:t>59.769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right"/>
            </w:pPr>
            <w:r>
              <w:rPr>
                <w:sz w:val="20"/>
              </w:rPr>
            </w:r>
            <w:r>
              <w:rPr>
                <w:b/>
                <w:rFonts w:ascii="Times New Roman" w:hAnsi="Times New Roman" w:cs="Times New Roman" w:eastAsia="Times New Roman"/>
                <w:sz w:val="20"/>
              </w:rPr>
              <w:t>100,02</w:t>
            </w:r>
          </w:p>
        </w:tc>
      </w:tr>
    </w:tbl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Die Summe 100,02 in der letzten Spalte ist ein Rundungsrest aus zwei Nachkommastellen je Zeile und kein Rechenfehler. Im Excel-Modell mit höherer Genauigkeit rechnen.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Berechnungslogik (Skizze, Senior-Review erforderlich):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Bestehende Anteile 30.000.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Pool-Reservierung 12 Prozent auf fully diluted </w:t>
      </w:r>
      <w:r>
        <w:rPr>
          <w:b/>
          <w:rFonts w:ascii="Times New Roman" w:hAnsi="Times New Roman" w:cs="Times New Roman" w:eastAsia="Times New Roman"/>
          <w:sz w:val="22"/>
        </w:rPr>
        <w:t>vor</w:t>
      </w:r>
      <w:r>
        <w:rPr>
          <w:rFonts w:ascii="Times New Roman" w:hAnsi="Times New Roman" w:cs="Times New Roman" w:eastAsia="Times New Roman"/>
          <w:sz w:val="22"/>
        </w:rPr>
        <w:t xml:space="preserve"> Series A: Pool / (30.000 + Pool + Convertible-Anteile) = 0,12. Mit Convertible-Anteilen ca. 6.700 ergibt sich Pool ca. 5.000 Anteile (genau 5.005 bei rechnerischer Auflösung, hier auf 5.000 gerundet).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Convertible Wandlung zum Valuation Cap 10 Mio. EUR fully diluted: ca. 6.700 Anteile für Tante Ermelind (Principal 600.000 EUR plus aufgelaufene PIK-Zinsen, Cap-Preis liegt unter dem Discount-Preis und greift daher).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Pre-Money fully diluted total = 12.000 + 9.000 + 6.000 + 3.000 + 5.000 + 6.700 = 41.700 Anteile.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Series-A-Preis pro Anteil = 12.000.000 EUR / 41.700 Anteile = ca. 287,77 EUR.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Series-A-Anteile total = 5.200.000 EUR / 287,77 EUR = ca. 18.069 Anteile.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Aufteilung Lead vs Co-Investor im Verhältnis 4,8 zu 0,4 Mio. EUR (intern festgelegte Subscription-Aufteilung gemäß CFO-Slack-Thread vom 28.05.2026, dokumentiert oben in dieser Datei; Datei 03 Ziff. 2 verlangt insoweit nur eine Lead-Mindestquote von 75 Prozent und legt die genauen Anteile der Co-Investoren nicht fest): Northbridge 4,8/5,2 x 18.069 = ca. 16.679 Anteile; Krämer Angels 0,4/5,2 x 18.069 = ca. 1.390 Anteile.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Post-money fully diluted total = 41.700 + 18.069 = 59.769 Anteile.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Plausibilitätscheck Northbridge-Quote = 16.679 / 59.769 = ca. 27,9 Prozent, konsistent mit der vom Lead intern kommunizierten Zielquote von rund 25 bis 30 Prozent.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Hinweis: Diese Zahlen sind eine </w:t>
      </w:r>
      <w:r>
        <w:rPr>
          <w:b/>
          <w:rFonts w:ascii="Times New Roman" w:hAnsi="Times New Roman" w:cs="Times New Roman" w:eastAsia="Times New Roman"/>
          <w:sz w:val="22"/>
        </w:rPr>
        <w:t>Skizze</w:t>
      </w:r>
      <w:r>
        <w:rPr>
          <w:rFonts w:ascii="Times New Roman" w:hAnsi="Times New Roman" w:cs="Times New Roman" w:eastAsia="Times New Roman"/>
          <w:sz w:val="22"/>
        </w:rPr>
        <w:t>. Die exakten Wandlungs- und Pool-Anteile sind im Excel-Modell auszurechnen. Adelheid hat ausdrücklich verboten, sie ohne Verifikation an Northbridge zu kommunizieren.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(c) V19c Projected Post-Closing Cap Table (Szenario 2: Pool 12 Prozent post-money)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Annahmen Szenario 2: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Pool wird </w:t>
      </w:r>
      <w:r>
        <w:rPr>
          <w:b/>
          <w:rFonts w:ascii="Times New Roman" w:hAnsi="Times New Roman" w:cs="Times New Roman" w:eastAsia="Times New Roman"/>
          <w:sz w:val="22"/>
        </w:rPr>
        <w:t>post-money</w:t>
      </w:r>
      <w:r>
        <w:rPr>
          <w:rFonts w:ascii="Times New Roman" w:hAnsi="Times New Roman" w:cs="Times New Roman" w:eastAsia="Times New Roman"/>
          <w:sz w:val="22"/>
        </w:rPr>
        <w:t xml:space="preserve"> 12 Prozent fully diluted. Mathematisch trägt Northbridge den Pool anteilig mit.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Series-A-Subscription unverändert 5,2 Mio. EUR.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Wirtschaftlicher Effekt: Bestandsgesellschafter haben hier rund 1,5 Prozentpunkte höhere Quoten als in Szenario 1, Northbridge etwas weniger. Vorrechnung im Excel-Modell, mit Mandantin am Tisch durchgehen.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7. Stück-für-Stück-Rechnung mit Prüfschritten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Schritt 1: Stammkapital und ausgegebene Anteile (entspricht V19a oben).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Schritt 2: VSOP-Block separat ausweisen. Virtuelle Anteile führen nicht zu Geschäftsanteilen. Cap-Table-Behandlung hängt vom Series-A-SHA ab.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Schritt 3: Wandeldarlehen mit Discount-Variante und Valuation-Cap-Variante rechnen, niedrigere Conversion Price greift. Annahme bei Series-A-Pre-Money 12 Mio. EUR: Valuation Cap wirkt.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Schritt 4: Pool-Shuffle ausrechnen, beide Szenarien (Pre-Money und Post-Money).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Schritt 5: Series-A-Preis je Anteil bestimmen, Subscription Amount durch Preis je Anteil teilen, Aufteilung Lead und Co-Investor nach Subscription-Anteilen.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Schritt 6: Fully-diluted-Summe prüfen, Quoten ausrechnen, Konsistenz mit Term-Sheet-Erwartung (etwa 25 Prozent Northbridge post-money fully diluted) verifizieren.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8. Was Kunigunde wissen muss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Gesellschafterliste</w:t>
      </w:r>
      <w:r>
        <w:rPr>
          <w:rFonts w:ascii="Times New Roman" w:hAnsi="Times New Roman" w:cs="Times New Roman" w:eastAsia="Times New Roman"/>
          <w:sz w:val="22"/>
        </w:rPr>
        <w:t xml:space="preserve"> ist die offizielle Liste der eingetragenen Geschäftsanteile.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Cap Table</w:t>
      </w:r>
      <w:r>
        <w:rPr>
          <w:rFonts w:ascii="Times New Roman" w:hAnsi="Times New Roman" w:cs="Times New Roman" w:eastAsia="Times New Roman"/>
          <w:sz w:val="22"/>
        </w:rPr>
        <w:t xml:space="preserve"> ist das interne Bild, das alles abbildet: Anteile, Optionen, Convertibles, virtuelle Beteiligungen.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Pre-Money-Pool-Shuffle</w:t>
      </w:r>
      <w:r>
        <w:rPr>
          <w:rFonts w:ascii="Times New Roman" w:hAnsi="Times New Roman" w:cs="Times New Roman" w:eastAsia="Times New Roman"/>
          <w:sz w:val="22"/>
        </w:rPr>
        <w:t xml:space="preserve"> trifft wirtschaftlich die Gründer, weil die zusätzlichen Pool-Anteile aus dem Pre-Money-Bestand herausgerechnet werden.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Wandeldarlehen Tante Ermelind</w:t>
      </w:r>
      <w:r>
        <w:rPr>
          <w:rFonts w:ascii="Times New Roman" w:hAnsi="Times New Roman" w:cs="Times New Roman" w:eastAsia="Times New Roman"/>
          <w:sz w:val="22"/>
        </w:rPr>
        <w:t xml:space="preserve"> bekommt rechnerisch mehr Anteile als Investoren, die zum gleichen Zeitpunkt frisches Geld einbringen, weil Discount oder Valuation Cap greifen.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VSOP</w:t>
      </w:r>
      <w:r>
        <w:rPr>
          <w:rFonts w:ascii="Times New Roman" w:hAnsi="Times New Roman" w:cs="Times New Roman" w:eastAsia="Times New Roman"/>
          <w:sz w:val="22"/>
        </w:rPr>
        <w:t xml:space="preserve"> verwässert ebenfalls, sobald virtuelle Anteile in Vergleichsmechaniken einbezogen werden.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9. Senior-Review-Gate vor jeder Außenkommunikation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Kein Cap-Table-Zahlenwert geht an Northbridge oder Brackenmuir, bevor Adelheid die V19 abgezeichnet hat. Excel-Modell mit Prüfblatt, das alle Inputs gegen Quelldokumente verlinkt.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Vertraulich — Lehrmaterial Didaktisches Gesellschaftsrecht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Seite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 von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Kometenfalter Systems GmbH — Series A Project Comet Moth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02 — Cap Table Und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Cap Table und Gesellschafterliste</dc:title>
  <dc:subject/>
  <dc:creator>Perplexity Computer</dc:creator>
  <cp:keywords/>
  <dc:description>Didaktisches Gesellschaftsrecht — English Business Terms</dc:description>
  <cp:lastModifiedBy/>
  <cp:revision>1</cp:revision>
  <dcterms:created xsi:type="dcterms:W3CDTF">2013-12-23T23:15:00Z</dcterms:created>
  <dcterms:modified xsi:type="dcterms:W3CDTF">2013-12-23T23:15:00Z</dcterms:modified>
  <cp:category>Didaktisches Gesellschaftsrecht — English Business Terms</cp:category>
</cp:coreProperties>
</file>