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6"/>
          <w:rFonts w:ascii="Times New Roman" w:hAnsi="Times New Roman" w:cs="Times New Roman" w:eastAsia="Times New Roman"/>
        </w:rPr>
        <w:t>06 Associate-Arbeitsstand mit Rotstift der Partnerin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Fiktive Lehrakte. Aehnlichkeiten zu realen Transaktionen sind nicht beabsichtigt.</w:t>
        <w:br/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Dieses Dokument ist Hildemar K.s Arbeitsstand vom 20.05.2026, 02:14 Uhr. Adelheid von Westarp hat am 21.05.2026 vormittags mit rotem Stift Anmerkungen vermerkt. Die Anmerkungen sind hier als Block-Quote unter dem jeweiligen Satz eingefügt. Sinn der Datei: dem Nachwuchs zeigen, wie eine Partnerin Anfängertexte umarbeitet — sachlich, hart, lehrreich.</w:t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1. 1 Cap Table und Gesellschafterliste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Ich glaube, Cap Table ist im Grunde die Gesellschafterliste, aber mit englischer Ueberschrift. Muss ich noch prüfen.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Nein. Cap Table ist eine wirtschaftliche Projektion auf Fully-Diluted-Basis und enthält Optionen, Wandeldarlehen, Pool. Die Gesellschafterliste nach § 40 GmbHG ist eine **rechtlich verbindliche** Liste der **tatsächlich** in Geschäftsanteilen verkörperten Mitgliedschaftsrechte zum Stichtag. Wer das verwechselt, verwechselt im Mandantengespräch auch die Kategorien "wirtschaftliche Beteiligung" und "Mitgliedschaftsrecht". Bitte das Glossar (Datei 08) lesen. **Wiederlesen, dann umschreiben.**</w:t>
        <w:br/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2. 2 Fully Diluted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Fully diluted heißt wohl, dass alle Gründer schon jetzt so behandelt werden, als hätten sie weniger echte Anteile. Unklar, ob VSOP mitzählt.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"Wohl" ist im Memo verboten. Fully Diluted ist eine **definierte Rechengröße**: man rechnet alle Anteile, Optionen, Wandeldarlehen, Warrants so, als wären sie ausgeübt/gewandelt. Das VSOP zählt **nur dann**, wenn es **virtuelle** Anteile sind, die in echte Anteile konvertiert werden können; ein reines Phantom-Cash-Plan zählt **nicht**. Hier zählt das VSOP nur insofern, als der **Option Pool** (nicht das VSOP selbst) auf der Cap Table als reservierte Geschäftsanteile abgebildet wird. Bitte den Investor Counsel anschreiben und um Klarstellung bitten, ob unser Phantom-VSOP als "Share Equivalent" gilt — das ist verhandelbar.</w:t>
        <w:br/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3. 3 Liquidation Preference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Liquidation Preference klingt nach Insolvenz/Liquidation, aber im Term Sheet steht auch Verkauf aller Anteile oder Assets. Das ist also wahrscheinlich Exit-Erlösverteilung. Muss sauber erklärt werden.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Ja, das ist richtig erkannt, aber bitte **niemals** in dieser unsicheren Sprache an die Mandantin schreiben. Mandantin braucht: (1) Liquidation Preference ist **keine** Insolvenzrangordnung. (2) Sie greift bei **Exit-Erlösverteilung** — Sale oder Liquidation Event nach Term-Sheet-Definition. (3) "1x non-participating" mit "higher of" bedeutet: Investor bekommt **das Höhere** aus (a) Präferenzbetrag und (b) anteiliger Beteiligung. Setzen Sie die Mechanik bitte mit drei Rechenbeispielen auf: niedriger Exit, Break-Even-Exit, hoher Exit.</w:t>
        <w:br/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4. 4 Anti-Dilution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Anti-Dilution: Investor sagt broad-based weighted average. Das ist wohl weicher als full ratchet. Die Formel fehlt aber. Ich würde nicht freigeben, ohne Formel und Exceptions.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Korrekt — broad-based weighted average ist **investorenfreundlicher als pari passu, aber gründerfreundlicher als full ratchet**. Die Formel steht jetzt in Datei 03 Ziff. 4 (NCP = OCP x (A+B) / (A+C)). Ihre Aufgabe: prüfen, ob die **Exclusions** ausreichend sind. Insbesondere: gilt die Anti-Dilution auch für **bridge financings**, für **Wandeldarlehen** und für **strategische Ausgaben**? Wenn nicht, dann formulieren wir die Exclusions im SHA aus. Frist: bis 25.05. Es wird **kein** Markup an Brackenmuir gehen, ohne dass das gesperrt ist.</w:t>
        <w:br/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5. 5 Vesting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Vesting: Gründer haben altes Vesting seit 2024. Northbridge will neues Vesting ab Closing. Das ist wirtschaftlich ein harter Reset. Frage an Partnerin: akzeptabel oder Anrechnung verhandeln?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Anrechnung verhandeln. Standard ist eine **Hybridlösung**: die im Seed bereits abgelaufenen 28 Monate werden anteilig angerechnet (d.h. neue Vesting-Dauer ist 48 Monate ab Closing, davon sind 28 Monate ab Closing sofort gevested), **plus** Cliff von 6 Monaten statt 12 als Kompromiss. Northbridge wird das nicht freiwillig akzeptieren; bringen Sie es im Markup als Counter ein.</w:t>
        <w:br/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6. 6 Drag und Tag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Drag/Tag: Term Sheet 60 Prozent plus Series A Majority. Satzung/Seed-SHA sehen andere Schwellen. Muss harmonisiert werden.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Richtig, aber "harmonisiert" ist Beraterkauderwelsch. Sie haben **drei** Drag-Schwellen aufgeschrieben: 60 % + Series A Majority (Term Sheet), 70 % (Seed-SHA), 75 % (Satzung Vinkulierung). Frage: was gilt nach Closing? Antwort: das **Series-A-SHA**. Aber das hilft nicht, wenn die Satzung gegenläuft. Konkret: die Vinkulierung in § 6 Satzung verlangt 75 % für **Übertragung**. Auch ein Drag ist eine Übertragung. Daher entweder (a) Satzung anpassen oder (b) im SHA eine "Stimmbindungsvereinbarung" einfügen, dass alle Gesellschafter zur Vinkulierungs-Zustimmung verpflichtet sind. Standard ist (b). Bitte als Klausel ausformulieren.</w:t>
        <w:br/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7. 7 Investor Director Approval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Investor Director Approval: Bei GmbH nicht einfach wie Delaware Board behandeln. Beirat nach Satzung bisher nur beratend. Wenn Zustimmungsvorbehalte gewollt sind, müssen Dokumente sauber angepasst werden.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Ja. Drei Ebenen: (1) **Satzung** — Beirat mit Zustimmungsvorbehalten ist zulässig (Heider, Münchener Kommentar GmbHG, § 6 Rn. 35 ff. — bitte das aus der Hauspraxisgruppe heraussuchen; **nicht** zitieren ohne Stellenprüfung), aber er bleibt **nicht** ein "Board of Directors" im Delaware-Sinne. (2) **Geschäftsführungs-Geschäftsordnung** — die Zustimmungsvorbehalte sind dort als interne Befugnisgrenze zu verankern. (3) **SHA** — schuldrechtliche Stimmbindung. Bitte nicht "Investor Director" in deutsche Dokumente übernehmen, sondern "Investor-Beiratsmitglied" oder "vom Investor entsandtes Beiratsmitglied" verwenden.</w:t>
        <w:br/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8. 8 Series A Preferred Shares — echte Anteilsklasse oder nur schuldrechtlich?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To do: Investor Counsel fragen, ob Series A Preferred Shares echte Anteilsklasse oder nur schuldrechtliche Rechte sein sollen.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Falsche Frage. In Deutschland gibt es **keine** Anteilsklassen wie in Delaware. Es gibt aber **Geschäftsanteile mit Sonderrechten einzelner Gesellschafter**, deren rechtliche Verankerung sich aus der allgemeinen **Satzungsautonomie** ergibt und nach ständiger Rechtsprechung auf § 35 BGB analog gestützt wird (BGHZ 123, 15; BGH, Urt. v. 14.05.1956 – II ZR 229/54; BGH, Urt. v. 25.06.1979 – II ZR 89/79 = LM BGB § 35 Nr. 4; OLG Nürnberg, Urt. v. 09.02.2000 – 12 U 813/99, GmbHR 2000, 561). **Im GmbHG selbst** gibt es **keine** positive Vorschrift, die Sonderrechte regelt — § 14 GmbHG (Einlagepflicht/Nennbetrag) ist gerade **nicht** der Anker, auch wenn das in der Praxis manchmal nachlässig zitiert wird. Hüten Sie sich erst recht vor dem doppelten Anfängerfehler, § 5 Abs. 3 GmbHG als Anker zu zitieren — diese Vorschrift regelt **nur**, dass Geschäftsanteile unterschiedliche **Nennbeträge** haben können und in Summe das Stammkapital ergeben müssen; sie betrifft **nicht** die wirtschaftlichen Sonderrechte wie Liquidation Preference oder Anti-Dilution. Die Vorzugsrechte werden in der **Satzung** definiert, mit den jeweiligen Liquidations-, Stimm- und Gewinnrechten. Schuldrechtliche Lösungen über den SHA sind möglich, aber riskant bei Insolvenz und gegenüber Rechtsnachfolgern. Empfehlung: dingliche Lösung in Satzung (mit Änderungsbeschluss nach § 53 GmbHG), plus schuldrechtliche Spiegelung im SHA. Das bitte als eigenen Memo-Abschnitt für die Mandantin.</w:t>
        <w:br/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9. 9 English long-form docs unter deutschem Recht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To do: Prüfen, ob English long-form docs mit deutscher Notar- und Registerlogik funktionieren.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Ja, das funktioniert, aber nur mit Sorgfalt. Drei Punkte:</w:t>
        <w:br/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1. **Notarielle Beurkundung** § 15 Abs. 3 GmbHG **verlangt deutsche Sprache** im Notarprotokoll, soweit die Beteiligten der deutschen Sprache mächtig sind (§ 5 BeurkG). Wenn ein Beteiligter nicht deutsch spricht, ist eine **schriftliche Uebersetzung** beizufügen, die der Notar für "richtig und vollständig" erklärt (§ 5 Abs. 2 BeurkG).</w:t>
        <w:br/>
      </w:r>
      <w:r>
        <w:rPr>
          <w:i/>
          <w:rFonts w:ascii="Times New Roman" w:hAnsi="Times New Roman" w:cs="Times New Roman" w:eastAsia="Times New Roman"/>
          <w:sz w:val="22"/>
        </w:rPr>
        <w:t>2. **Handelsregister** — die Anlagen zur Anmeldung müssen in deutscher Sprache eingereicht werden (§ 184 GVG analog, plus Registerverordnung).</w:t>
        <w:br/>
      </w:r>
      <w:r>
        <w:rPr>
          <w:i/>
          <w:rFonts w:ascii="Times New Roman" w:hAnsi="Times New Roman" w:cs="Times New Roman" w:eastAsia="Times New Roman"/>
          <w:sz w:val="22"/>
        </w:rPr>
        <w:t>3. **SHA, Investment Agreement, Side Letter** können in englischer Sprache abgeschlossen werden, da sie **nicht** beurkundungsbedürftig sind, soweit sie nicht **die Übertragung von Geschäftsanteilen verpflichtend regeln** (§ 15 Abs. 4 GmbHG). Achtung: ein "Drag-Along" als schuldrechtliche Verpflichtung kann als verkaufsverpflichtend gelten und dann **beurkundungsbedürftig** sein. Strittig, aber konservativ: Notar einschalten.</w:t>
        <w:br/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10. 10 To-Do Liste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To do: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Cap Table current vs fully diluted rechnen.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Begriffserklärung für Kunigunde.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Partnerbriefing.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Investor Counsel fragen, ob Series A Preferred Shares echte Anteilsklasse oder nur schuldrechtliche Rechte sein sollen.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Prüfen, ob English long-form docs mit deutscher Notar- und Registerlogik funktionieren.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**AvW:** Reihenfolge umstellen: **(1) Partnerbriefing zuerst** — kommen Sie morgen 8:00 Uhr in mein Büro. (2) Cap Table mit drei Szenarien (siehe Datei 02). (3) Begriffserklärung für Kunigunde **erst nach** unserem Briefing — wir wollen nicht, dass Sie ihr Halbwissen weitergeben. (4) Notar-Frage kläre ich mit Roswitha Plöger im Notariat Schwartz direkt. (5) Investor-Counsel-Frage: nicht "Anteilsklasse vs schuldrechtlich" fragen, sondern: "Wir gehen davon aus, dass die Series A Preferred Shares als Geschäftsanteile mit Sonderrechten einzelner Gesellschafter in der Satzung verankert werden, gestützt auf die Satzungsautonomie und § 35 BGB analog (BGHZ 123, 15). Stimmen Sie zu?" — das ist der professionelle Aufschlag.</w:t>
        <w:br/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11. Hildemars Reaktion am 21.05.2026, 09:47 Uhr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OK. Ich habe heute Morgen schon das Glossar (Datei 08) und den Anfängerfehler-Katalog (Datei 09) gelesen. Ich verstehe jetzt: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Cap Table != Gesellschafterliste.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Fully Diluted ist definierte Rechengröße.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 xml:space="preserve">Anti-Dilution braucht Formel </w:t>
      </w:r>
      <w:r>
        <w:rPr>
          <w:b/>
          <w:rFonts w:ascii="Times New Roman" w:hAnsi="Times New Roman" w:cs="Times New Roman" w:eastAsia="Times New Roman"/>
          <w:sz w:val="22"/>
        </w:rPr>
        <w:t>und</w:t>
      </w:r>
      <w:r>
        <w:rPr>
          <w:rFonts w:ascii="Times New Roman" w:hAnsi="Times New Roman" w:cs="Times New Roman" w:eastAsia="Times New Roman"/>
          <w:sz w:val="22"/>
        </w:rPr>
        <w:t xml:space="preserve"> Exclusions.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Vesting-Anrechnung wird verhandelt, nicht akzeptiert.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Drag braucht Stimmbindung im SHA, weil Vinkulierung in Satzung 75 % verlangt.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Investor "Director" ist kein Board-Director, sondern Beiratsmitglied.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Series A Preferred Shares sind Geschäftsanteile mit Sonderrechten in der Satzung (Satzungsautonomie, § 35 BGB analog, st. Rspr.: BGHZ 123, 15; BGH II ZR 89/79); weder § 14 GmbHG (Einlagepflicht) noch § 5 Abs. 3 GmbHG (Nennbeträge) ist die Rechtsgrundlage.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English long-form docs gehen, aber Notar verlangt Deutsch.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Ich bringe morgen 8:00 die Cap Table mit drei Szenarien und einen Memo-Entwurf für Kunigunde.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**AvW (gleicher Tag, 10:02 Uhr per Slack):** Gut. Und bitte: weniger Schachtelsätze in der Mandantenkommunikation. Kunigunde ist Ingenieurin, sie versteht Tabellen besser als Bandwurmsätze.</w:t>
        <w:br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Vertraulich — Lehrmaterial Didaktisches Gesellschaftsrecht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Seite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 von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Kometenfalter Systems GmbH — Series A Project Comet Moth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06 — Associate Arbeitsstand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Associate-Arbeitsstand mit Rotstift der Partnerin</dc:title>
  <dc:subject/>
  <dc:creator>Perplexity Computer</dc:creator>
  <cp:keywords/>
  <dc:description>Didaktisches Gesellschaftsrecht — English Business Terms</dc:description>
  <cp:lastModifiedBy/>
  <cp:revision>1</cp:revision>
  <dcterms:created xsi:type="dcterms:W3CDTF">2013-12-23T23:15:00Z</dcterms:created>
  <dcterms:modified xsi:type="dcterms:W3CDTF">2013-12-23T23:15:00Z</dcterms:modified>
  <cp:category>Didaktisches Gesellschaftsrecht — English Business Terms</cp:category>
</cp:coreProperties>
</file>