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07 Erwarteter Output und Prüfraster (ohne Musterlösung)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Fiktive Lehrakte. Aehnlichkeiten zu realen Transaktionen sind nicht beabsichtigt.</w:t>
        <w:br/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Dieses Dokument enthält </w:t>
      </w:r>
      <w:r>
        <w:rPr>
          <w:b/>
          <w:rFonts w:ascii="Times New Roman" w:hAnsi="Times New Roman" w:cs="Times New Roman" w:eastAsia="Times New Roman"/>
          <w:sz w:val="22"/>
        </w:rPr>
        <w:t>keine</w:t>
      </w:r>
      <w:r>
        <w:rPr>
          <w:rFonts w:ascii="Times New Roman" w:hAnsi="Times New Roman" w:cs="Times New Roman" w:eastAsia="Times New Roman"/>
          <w:sz w:val="22"/>
        </w:rPr>
        <w:t xml:space="preserve"> Musterlösung, sondern </w:t>
      </w:r>
      <w:r>
        <w:rPr>
          <w:b/>
          <w:rFonts w:ascii="Times New Roman" w:hAnsi="Times New Roman" w:cs="Times New Roman" w:eastAsia="Times New Roman"/>
          <w:sz w:val="22"/>
        </w:rPr>
        <w:t>Qualitätsanforderungen</w:t>
      </w:r>
      <w:r>
        <w:rPr>
          <w:rFonts w:ascii="Times New Roman" w:hAnsi="Times New Roman" w:cs="Times New Roman" w:eastAsia="Times New Roman"/>
          <w:sz w:val="22"/>
        </w:rPr>
        <w:t xml:space="preserve"> und ein </w:t>
      </w:r>
      <w:r>
        <w:rPr>
          <w:b/>
          <w:rFonts w:ascii="Times New Roman" w:hAnsi="Times New Roman" w:cs="Times New Roman" w:eastAsia="Times New Roman"/>
          <w:sz w:val="22"/>
        </w:rPr>
        <w:t>Prüfraster</w:t>
      </w:r>
      <w:r>
        <w:rPr>
          <w:rFonts w:ascii="Times New Roman" w:hAnsi="Times New Roman" w:cs="Times New Roman" w:eastAsia="Times New Roman"/>
          <w:sz w:val="22"/>
        </w:rPr>
        <w:t>, mit dem die Antworten des Nachwuchses bewertet werden. Es ist bewusst so geschrieben, dass es weder Antworten vorgibt noch Antworten ausschließt, sondern Maßstäbe setzt.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A Grundhaltung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Eine gute Bearbeitung dieser Akte erkennt, dass </w:t>
      </w:r>
      <w:r>
        <w:rPr>
          <w:b/>
          <w:rFonts w:ascii="Times New Roman" w:hAnsi="Times New Roman" w:cs="Times New Roman" w:eastAsia="Times New Roman"/>
          <w:sz w:val="22"/>
        </w:rPr>
        <w:t>Corporate Legal English</w:t>
      </w:r>
      <w:r>
        <w:rPr>
          <w:rFonts w:ascii="Times New Roman" w:hAnsi="Times New Roman" w:cs="Times New Roman" w:eastAsia="Times New Roman"/>
          <w:sz w:val="22"/>
        </w:rPr>
        <w:t xml:space="preserve"> im deutschen Mandat </w:t>
      </w:r>
      <w:r>
        <w:rPr>
          <w:b/>
          <w:rFonts w:ascii="Times New Roman" w:hAnsi="Times New Roman" w:cs="Times New Roman" w:eastAsia="Times New Roman"/>
          <w:sz w:val="22"/>
        </w:rPr>
        <w:t>keine Übersetzungsaufgabe</w:t>
      </w:r>
      <w:r>
        <w:rPr>
          <w:rFonts w:ascii="Times New Roman" w:hAnsi="Times New Roman" w:cs="Times New Roman" w:eastAsia="Times New Roman"/>
          <w:sz w:val="22"/>
        </w:rPr>
        <w:t xml:space="preserve"> ist, sondern eine </w:t>
      </w:r>
      <w:r>
        <w:rPr>
          <w:b/>
          <w:rFonts w:ascii="Times New Roman" w:hAnsi="Times New Roman" w:cs="Times New Roman" w:eastAsia="Times New Roman"/>
          <w:sz w:val="22"/>
        </w:rPr>
        <w:t>Doppelarbeit</w:t>
      </w:r>
      <w:r>
        <w:rPr>
          <w:rFonts w:ascii="Times New Roman" w:hAnsi="Times New Roman" w:cs="Times New Roman" w:eastAsia="Times New Roman"/>
          <w:sz w:val="22"/>
        </w:rPr>
        <w:t>: man muss (1) den englischen Begriff in seiner internationalen Bedeutung erfassen und (2) ihn in deutsche Rechtsstrukturen und Rechtspflichten überführen. Wer einen englischen Begriff eins-zu-eins als deutsche Klausel übersetzt, hat seinen Job nicht gemacht.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2. B Was gute Antworten leisten</w:t>
      </w:r>
    </w:p>
    <w:p>
      <w:pPr>
        <w:keepNext/>
        <w:spacing w:before="120" w:after="60"/>
      </w:pPr>
      <w:r>
        <w:rPr>
          <w:b/>
          <w:sz w:val="22"/>
          <w:rFonts w:ascii="Times New Roman" w:hAnsi="Times New Roman" w:cs="Times New Roman" w:eastAsia="Times New Roman"/>
        </w:rPr>
        <w:t>(a) B.1 Begriffsdisziplin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Cap Table und Gesellschafterliste werden klar getrennt; § 40 GmbHG wird als Rechtsanker erkannt.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§ 16 GmbHG (gutgläubiger Erwerb der Mitgliedschaft) wird angesprochen.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Fully Diluted wird als </w:t>
      </w:r>
      <w:r>
        <w:rPr>
          <w:b/>
          <w:rFonts w:ascii="Times New Roman" w:hAnsi="Times New Roman" w:cs="Times New Roman" w:eastAsia="Times New Roman"/>
          <w:sz w:val="22"/>
        </w:rPr>
        <w:t>definierte Rechengröße</w:t>
      </w:r>
      <w:r>
        <w:rPr>
          <w:rFonts w:ascii="Times New Roman" w:hAnsi="Times New Roman" w:cs="Times New Roman" w:eastAsia="Times New Roman"/>
          <w:sz w:val="22"/>
        </w:rPr>
        <w:t xml:space="preserve"> mit Annahmen (Pool, Wandeldarlehen, Optionen) erklärt.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Option Pool </w:t>
      </w:r>
      <w:r>
        <w:rPr>
          <w:b/>
          <w:rFonts w:ascii="Times New Roman" w:hAnsi="Times New Roman" w:cs="Times New Roman" w:eastAsia="Times New Roman"/>
          <w:sz w:val="22"/>
        </w:rPr>
        <w:t>pre-money</w:t>
      </w:r>
      <w:r>
        <w:rPr>
          <w:rFonts w:ascii="Times New Roman" w:hAnsi="Times New Roman" w:cs="Times New Roman" w:eastAsia="Times New Roman"/>
          <w:sz w:val="22"/>
        </w:rPr>
        <w:t xml:space="preserve"> vs </w:t>
      </w:r>
      <w:r>
        <w:rPr>
          <w:b/>
          <w:rFonts w:ascii="Times New Roman" w:hAnsi="Times New Roman" w:cs="Times New Roman" w:eastAsia="Times New Roman"/>
          <w:sz w:val="22"/>
        </w:rPr>
        <w:t>post-money</w:t>
      </w:r>
      <w:r>
        <w:rPr>
          <w:rFonts w:ascii="Times New Roman" w:hAnsi="Times New Roman" w:cs="Times New Roman" w:eastAsia="Times New Roman"/>
          <w:sz w:val="22"/>
        </w:rPr>
        <w:t xml:space="preserve"> wird als wirtschaftlich entscheidender Punkt markiert (siehe Datei 02, V19a/V19b/V19c).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Liquidation Preference wird als </w:t>
      </w:r>
      <w:r>
        <w:rPr>
          <w:b/>
          <w:rFonts w:ascii="Times New Roman" w:hAnsi="Times New Roman" w:cs="Times New Roman" w:eastAsia="Times New Roman"/>
          <w:sz w:val="22"/>
        </w:rPr>
        <w:t>Exit-Waterfall</w:t>
      </w:r>
      <w:r>
        <w:rPr>
          <w:rFonts w:ascii="Times New Roman" w:hAnsi="Times New Roman" w:cs="Times New Roman" w:eastAsia="Times New Roman"/>
          <w:sz w:val="22"/>
        </w:rPr>
        <w:t xml:space="preserve"> erklärt, </w:t>
      </w:r>
      <w:r>
        <w:rPr>
          <w:b/>
          <w:rFonts w:ascii="Times New Roman" w:hAnsi="Times New Roman" w:cs="Times New Roman" w:eastAsia="Times New Roman"/>
          <w:sz w:val="22"/>
        </w:rPr>
        <w:t>nicht</w:t>
      </w:r>
      <w:r>
        <w:rPr>
          <w:rFonts w:ascii="Times New Roman" w:hAnsi="Times New Roman" w:cs="Times New Roman" w:eastAsia="Times New Roman"/>
          <w:sz w:val="22"/>
        </w:rPr>
        <w:t xml:space="preserve"> als Insolvenzrang.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Anti-Dilution wird </w:t>
      </w:r>
      <w:r>
        <w:rPr>
          <w:b/>
          <w:rFonts w:ascii="Times New Roman" w:hAnsi="Times New Roman" w:cs="Times New Roman" w:eastAsia="Times New Roman"/>
          <w:sz w:val="22"/>
        </w:rPr>
        <w:t>nicht</w:t>
      </w:r>
      <w:r>
        <w:rPr>
          <w:rFonts w:ascii="Times New Roman" w:hAnsi="Times New Roman" w:cs="Times New Roman" w:eastAsia="Times New Roman"/>
          <w:sz w:val="22"/>
        </w:rPr>
        <w:t xml:space="preserve"> mit Bezugsrecht (§ 55 GmbHG) gleichgesetzt; "broad-based weighted average" wird unter Angabe der Formel erklärt.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Vesting und Leaver werden in </w:t>
      </w:r>
      <w:r>
        <w:rPr>
          <w:b/>
          <w:rFonts w:ascii="Times New Roman" w:hAnsi="Times New Roman" w:cs="Times New Roman" w:eastAsia="Times New Roman"/>
          <w:sz w:val="22"/>
        </w:rPr>
        <w:t>deutsche</w:t>
      </w:r>
      <w:r>
        <w:rPr>
          <w:rFonts w:ascii="Times New Roman" w:hAnsi="Times New Roman" w:cs="Times New Roman" w:eastAsia="Times New Roman"/>
          <w:sz w:val="22"/>
        </w:rPr>
        <w:t xml:space="preserve"> Umsetzungsfragen übersetzt (Call-Optionen, Einziehung, Bewertung nach § 317 BGB).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Beirat, Investor Director und Reserved Matters werden </w:t>
      </w:r>
      <w:r>
        <w:rPr>
          <w:b/>
          <w:rFonts w:ascii="Times New Roman" w:hAnsi="Times New Roman" w:cs="Times New Roman" w:eastAsia="Times New Roman"/>
          <w:sz w:val="22"/>
        </w:rPr>
        <w:t>nicht</w:t>
      </w:r>
      <w:r>
        <w:rPr>
          <w:rFonts w:ascii="Times New Roman" w:hAnsi="Times New Roman" w:cs="Times New Roman" w:eastAsia="Times New Roman"/>
          <w:sz w:val="22"/>
        </w:rPr>
        <w:t xml:space="preserve"> blind aus dem Delaware-Vokabular übernommen.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English Contract under German Law wird mit Blick auf Sprachklausel, Notarebene (§ 15 GmbHG, § 5 BeurkG) und Registerebene (§ 184 GVG analog) geprüft.</w:t>
      </w:r>
    </w:p>
    <w:p>
      <w:pPr>
        <w:keepNext/>
        <w:spacing w:before="120" w:after="60"/>
      </w:pPr>
      <w:r>
        <w:rPr>
          <w:b/>
          <w:sz w:val="22"/>
          <w:rFonts w:ascii="Times New Roman" w:hAnsi="Times New Roman" w:cs="Times New Roman" w:eastAsia="Times New Roman"/>
        </w:rPr>
        <w:t>(b) B.2 Strukturelle Disziplin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Senior-Review-Gates werden gesetzt: jede Mandantenkommunikation, jedes Markup, jede Investorenantwort geht durch die Partnerin.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Die Disclosure-Schedule-Logik (was wird der Gegenseite offengelegt, was nicht) wird beachtet.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Vertragsstände werden konsistent benannt: Term Sheet (Datei 03), Seed-SHA, Series-A-SHA, Investment Agreement, Side Letter, Geschäftsordnung der GF, Satzung.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Notarielle Form (§ 15 Abs. 3 GmbHG für Anteilsübertragung, § 53 GmbHG für Satzungsänderung, § 55 GmbHG für Kapitalerhöhung) wird sauber zugeordnet.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Pre-Closing-Schritte (CPs) werden von Post-Closing-Schritten getrennt (siehe Datei 15).</w:t>
      </w:r>
    </w:p>
    <w:p>
      <w:pPr>
        <w:keepNext/>
        <w:spacing w:before="120" w:after="60"/>
      </w:pPr>
      <w:r>
        <w:rPr>
          <w:b/>
          <w:sz w:val="22"/>
          <w:rFonts w:ascii="Times New Roman" w:hAnsi="Times New Roman" w:cs="Times New Roman" w:eastAsia="Times New Roman"/>
        </w:rPr>
        <w:t>(c) B.3 Mandantenkommunikation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Begriffe werden in der Sprache erklärt, in der die Mandantin denkt (Ingenieursprache: Tabellen, Beispielrechnungen).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Drei Rechenbeispiele zur Liquidation Preference (niedriger Exit, Break-Even-Exit, hoher Exit).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Eine Cap Table mit drei Szenarien (siehe Datei 02, V19a/V19b/V19c).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Klare Empfehlung mit Hinweis auf das Risiko, das die Mandantin übernimmt.</w:t>
      </w:r>
    </w:p>
    <w:p>
      <w:pPr>
        <w:keepNext/>
        <w:spacing w:before="120" w:after="60"/>
      </w:pPr>
      <w:r>
        <w:rPr>
          <w:b/>
          <w:sz w:val="22"/>
          <w:rFonts w:ascii="Times New Roman" w:hAnsi="Times New Roman" w:cs="Times New Roman" w:eastAsia="Times New Roman"/>
        </w:rPr>
        <w:t>(d) B.4 Stil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Aktiv, kurze Sätze, keine Modalpartikel ("wohl", "eigentlich", "wahrscheinlich" gehören in der Auseinandersetzung nicht in Memos der Partnerin gegenüber).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Generisches Maskulinum ist akzeptabel.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Englische Begriffe werden in Klammern hinter dem deutschen Begriff geführt, nicht umgekehrt.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3. C Was gute Antworten **nicht** tun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Paywallige Literatur zitieren.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BeckRS, juris, anwalt24.de oder Kommentarstellen ungeprüft übernehmen oder erfinden.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Englische Begriffe eins-zu-eins eindeutschen ("Investor Director" wird zu "Investorendirektor" — falsch).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Den Associate-Arbeitsstand (Datei 06) ungeprüft übernehmen — die Datei enthält absichtlich Anfängerfehler, die mit dem Rotstift der Partnerin korrigiert sind.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Den Cap Table als rechtliche Gesellschafterliste behandeln.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"Liquidation Preference" als Insolvenzrang erklären.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"Anti-Dilution" mit "Bezugsrecht" gleichsetzen.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Den Beirat einer GmbH als "Board of Directors" einer Delaware-Gesellschaft behandeln.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Die englische Fassung des Term Sheets als Notarvorlage vorlegen.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Ohne Senior-Review eine Mandantenantwort versenden.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4. D Prüfraster (Punktewertung intern, **nicht** an Mandanten weiterzugeben)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Maximalpunktzahl 100. Mindestpunktzahl für "Bestanden" 70.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Prüfpunkt</w:t>
            </w:r>
          </w:p>
        </w:tc>
        <w:tc>
          <w:tcPr>
            <w:tcW w:type="dxa" w:w="302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Punkte</w:t>
            </w:r>
          </w:p>
        </w:tc>
        <w:tc>
          <w:tcPr>
            <w:tcW w:type="dxa" w:w="302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Bemerkungen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Cap Table vs Gesellschafterliste sauber getrennt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Kein Punkt bei "im Grunde dasselbe"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Fully Diluted definiert und durchgerechnet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Mit Annahmen zu Pool, Wandeldarlehen, VSOP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Pool pre-/post-money erklärt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Plus wirtschaftliche Auswirkung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Liquidation Preference als Exit-Waterfall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Mit drei Rechenbeispielen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Anti-Dilution Formel und Exclusions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Broad-based weighted average mit Ausnahmenliste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Vesting/Leaver Implementierung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Call, Einziehung, Bewertung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Drag-/Tag-Schwellen harmonisiert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Stimmbindung im SHA, Vinkulierung beachtet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Beirat vs Board of Directors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Geschäftsordnung erwähnt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English contract under German law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Sprache, Notar, Register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Vorzugsrechte über Satzungsautonomie und Sonderrechte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Vorzugsrechte werden bei der GmbH als Sonderrechte einzelner Gesellschafter in der Satzung verankert. Rechtsgrundlage ist die allgemeine Satzungsautonomie in Verbindung mit § 35 BGB analog nach ständiger Rechtsprechung (BGHZ 123, 15; BGH II ZR 89/79 = LM BGB § 35 Nr. 4; OLG Nürnberg 12 U 813/99); Satzungsänderung nach § 53 GmbHG. Im GmbHG selbst regelt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Vorschrift die Sonderrechte positiv — weder § 14 GmbHG (Einlagepflicht/Nennbetrag) noch § 5 Abs. 3 GmbHG (Nennbeträge). "Series A Preferred Shares" als Pseudoklasse bleibt ein Anfängerfehler.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Disclosure-Schedule-Logik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DD-Befunde sauber eingeordnet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Senior-Review-Gates gesetzt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Jede Mandantenantwort durch Partnerin</w:t>
            </w:r>
          </w:p>
        </w:tc>
      </w:tr>
      <w:t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Notarielle Form korrekt zugeordnet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right"/>
            </w:pPr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§ 15, § 53, § 55 GmbHG, § 5 BeurkG</w:t>
            </w:r>
          </w:p>
        </w:tc>
      </w:tr>
    </w:tbl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5. E Typische Fehlbewertungen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Halbverstandene Floskeln</w:t>
      </w:r>
      <w:r>
        <w:rPr>
          <w:rFonts w:ascii="Times New Roman" w:hAnsi="Times New Roman" w:cs="Times New Roman" w:eastAsia="Times New Roman"/>
          <w:sz w:val="22"/>
        </w:rPr>
        <w:t xml:space="preserve"> (Score: -10): "Standardklausel, ist in jedem SHA so" — das ist </w:t>
      </w:r>
      <w:r>
        <w:rPr>
          <w:b/>
          <w:rFonts w:ascii="Times New Roman" w:hAnsi="Times New Roman" w:cs="Times New Roman" w:eastAsia="Times New Roman"/>
          <w:sz w:val="22"/>
        </w:rPr>
        <w:t>keine</w:t>
      </w:r>
      <w:r>
        <w:rPr>
          <w:rFonts w:ascii="Times New Roman" w:hAnsi="Times New Roman" w:cs="Times New Roman" w:eastAsia="Times New Roman"/>
          <w:sz w:val="22"/>
        </w:rPr>
        <w:t xml:space="preserve"> Begründung.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Falsche Rechtsverweise</w:t>
      </w:r>
      <w:r>
        <w:rPr>
          <w:rFonts w:ascii="Times New Roman" w:hAnsi="Times New Roman" w:cs="Times New Roman" w:eastAsia="Times New Roman"/>
          <w:sz w:val="22"/>
        </w:rPr>
        <w:t xml:space="preserve"> (Score: -10): "§ 31 GmbHG" wenn § 30 GmbHG gemeint ist.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Erfundene Präzedenzfälle</w:t>
      </w:r>
      <w:r>
        <w:rPr>
          <w:rFonts w:ascii="Times New Roman" w:hAnsi="Times New Roman" w:cs="Times New Roman" w:eastAsia="Times New Roman"/>
          <w:sz w:val="22"/>
        </w:rPr>
        <w:t xml:space="preserve"> (Score: Direktausschluss): "BGH II ZR 142/19" als Zitat, wenn das Aktenzeichen nicht existiert.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Aus dem Internet kopierte Definitionen</w:t>
      </w:r>
      <w:r>
        <w:rPr>
          <w:rFonts w:ascii="Times New Roman" w:hAnsi="Times New Roman" w:cs="Times New Roman" w:eastAsia="Times New Roman"/>
          <w:sz w:val="22"/>
        </w:rPr>
        <w:t xml:space="preserve"> (Score: -5): Wikipedia oder anwalt24.de als Quelle, ohne Gegenprüfung.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Mandanten-Patronisierung</w:t>
      </w:r>
      <w:r>
        <w:rPr>
          <w:rFonts w:ascii="Times New Roman" w:hAnsi="Times New Roman" w:cs="Times New Roman" w:eastAsia="Times New Roman"/>
          <w:sz w:val="22"/>
        </w:rPr>
        <w:t xml:space="preserve"> (Score: -5): "Sie als Laie verstehen das vielleicht nicht, aber ..."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b/>
          <w:rFonts w:ascii="Times New Roman" w:hAnsi="Times New Roman" w:cs="Times New Roman" w:eastAsia="Times New Roman"/>
          <w:sz w:val="22"/>
        </w:rPr>
        <w:t>Ueberhebliche englische Begriffe</w:t>
      </w:r>
      <w:r>
        <w:rPr>
          <w:rFonts w:ascii="Times New Roman" w:hAnsi="Times New Roman" w:cs="Times New Roman" w:eastAsia="Times New Roman"/>
          <w:sz w:val="22"/>
        </w:rPr>
        <w:t xml:space="preserve"> (Score: -3): "Das ist im Term Sheet gehedged" — bitte verständlich übersetzen.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6. F Bewertung des Senior-Verhaltens (intern)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Die Partnerin bewertet zusätzlich: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Ist der Associate </w:t>
      </w:r>
      <w:r>
        <w:rPr>
          <w:b/>
          <w:rFonts w:ascii="Times New Roman" w:hAnsi="Times New Roman" w:cs="Times New Roman" w:eastAsia="Times New Roman"/>
          <w:sz w:val="22"/>
        </w:rPr>
        <w:t>vorbereitet</w:t>
      </w:r>
      <w:r>
        <w:rPr>
          <w:rFonts w:ascii="Times New Roman" w:hAnsi="Times New Roman" w:cs="Times New Roman" w:eastAsia="Times New Roman"/>
          <w:sz w:val="22"/>
        </w:rPr>
        <w:t xml:space="preserve"> ins Briefing gekommen?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Hat er </w:t>
      </w:r>
      <w:r>
        <w:rPr>
          <w:b/>
          <w:rFonts w:ascii="Times New Roman" w:hAnsi="Times New Roman" w:cs="Times New Roman" w:eastAsia="Times New Roman"/>
          <w:sz w:val="22"/>
        </w:rPr>
        <w:t>vorab gelesen</w:t>
      </w:r>
      <w:r>
        <w:rPr>
          <w:rFonts w:ascii="Times New Roman" w:hAnsi="Times New Roman" w:cs="Times New Roman" w:eastAsia="Times New Roman"/>
          <w:sz w:val="22"/>
        </w:rPr>
        <w:t xml:space="preserve"> (Datei 08 Glossar, Datei 09 Anfängerfehler)?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Stellt er </w:t>
      </w:r>
      <w:r>
        <w:rPr>
          <w:b/>
          <w:rFonts w:ascii="Times New Roman" w:hAnsi="Times New Roman" w:cs="Times New Roman" w:eastAsia="Times New Roman"/>
          <w:sz w:val="22"/>
        </w:rPr>
        <w:t>Verständnisfragen</w:t>
      </w:r>
      <w:r>
        <w:rPr>
          <w:rFonts w:ascii="Times New Roman" w:hAnsi="Times New Roman" w:cs="Times New Roman" w:eastAsia="Times New Roman"/>
          <w:sz w:val="22"/>
        </w:rPr>
        <w:t xml:space="preserve"> oder gibt er nur Antworten?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Schreibt er </w:t>
      </w:r>
      <w:r>
        <w:rPr>
          <w:b/>
          <w:rFonts w:ascii="Times New Roman" w:hAnsi="Times New Roman" w:cs="Times New Roman" w:eastAsia="Times New Roman"/>
          <w:sz w:val="22"/>
        </w:rPr>
        <w:t>klare</w:t>
      </w:r>
      <w:r>
        <w:rPr>
          <w:rFonts w:ascii="Times New Roman" w:hAnsi="Times New Roman" w:cs="Times New Roman" w:eastAsia="Times New Roman"/>
          <w:sz w:val="22"/>
        </w:rPr>
        <w:t xml:space="preserve"> Emails an Investor Counsel?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Akzeptiert er </w:t>
      </w:r>
      <w:r>
        <w:rPr>
          <w:b/>
          <w:rFonts w:ascii="Times New Roman" w:hAnsi="Times New Roman" w:cs="Times New Roman" w:eastAsia="Times New Roman"/>
          <w:sz w:val="22"/>
        </w:rPr>
        <w:t>Kritik</w:t>
      </w:r>
      <w:r>
        <w:rPr>
          <w:rFonts w:ascii="Times New Roman" w:hAnsi="Times New Roman" w:cs="Times New Roman" w:eastAsia="Times New Roman"/>
          <w:sz w:val="22"/>
        </w:rPr>
        <w:t xml:space="preserve"> ohne defensive Reaktion?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Lernt er </w:t>
      </w:r>
      <w:r>
        <w:rPr>
          <w:b/>
          <w:rFonts w:ascii="Times New Roman" w:hAnsi="Times New Roman" w:cs="Times New Roman" w:eastAsia="Times New Roman"/>
          <w:sz w:val="22"/>
        </w:rPr>
        <w:t>aus</w:t>
      </w:r>
      <w:r>
        <w:rPr>
          <w:rFonts w:ascii="Times New Roman" w:hAnsi="Times New Roman" w:cs="Times New Roman" w:eastAsia="Times New Roman"/>
          <w:sz w:val="22"/>
        </w:rPr>
        <w:t xml:space="preserve"> der Korrektur?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Das ist nicht "weicher" als die fachliche Bewertung — es ist die andere Hälfte der Big-Law-Existenz.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7. G Hinweis zur Verwendung des Plugins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Das Plugin </w:t>
      </w:r>
      <w:r>
        <w:rPr>
          <w:rFonts w:ascii="Courier New" w:hAnsi="Courier New" w:cs="Courier New" w:eastAsia="Courier New"/>
          <w:sz w:val="22"/>
        </w:rPr>
        <w:t>gesellschaftsrecht-legal-english</w:t>
      </w:r>
      <w:r>
        <w:rPr>
          <w:rFonts w:ascii="Times New Roman" w:hAnsi="Times New Roman" w:cs="Times New Roman" w:eastAsia="Times New Roman"/>
          <w:sz w:val="22"/>
        </w:rPr>
        <w:t xml:space="preserve"> ist als didaktisches Werkzeug konzipiert. Es ersetzt nicht die Mandatsführung, nicht das Partner-Briefing, nicht die Notarbesprechung und nicht die DD-Prüfung durch Steuer-, IP- und Arbeitsrechtspraxisgruppen. Die Skills sollen Anfängern die Begriffe, die Stolperfallen und die strukturelle Disziplin beibringen, mit der eine deutsche VC-Series-A-Transaktion mit englischsprachiger Dokumentation geführt wird.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Verwendung im Training: die Akte (00 bis 15) wird in der genannten Reihenfolge gelesen. Der Anfängerfehler-Katalog (Datei 09) und das Glossar (Datei 08) sind </w:t>
      </w:r>
      <w:r>
        <w:rPr>
          <w:b/>
          <w:rFonts w:ascii="Times New Roman" w:hAnsi="Times New Roman" w:cs="Times New Roman" w:eastAsia="Times New Roman"/>
          <w:sz w:val="22"/>
        </w:rPr>
        <w:t>vor</w:t>
      </w:r>
      <w:r>
        <w:rPr>
          <w:rFonts w:ascii="Times New Roman" w:hAnsi="Times New Roman" w:cs="Times New Roman" w:eastAsia="Times New Roman"/>
          <w:sz w:val="22"/>
        </w:rPr>
        <w:t xml:space="preserve"> der ersten Bearbeitung zu konsultieren. Die Cap Table (Datei 02) wird mit Bleistift und Taschenrechner nachgerechnet, </w:t>
      </w:r>
      <w:r>
        <w:rPr>
          <w:b/>
          <w:rFonts w:ascii="Times New Roman" w:hAnsi="Times New Roman" w:cs="Times New Roman" w:eastAsia="Times New Roman"/>
          <w:sz w:val="22"/>
        </w:rPr>
        <w:t>nicht</w:t>
      </w:r>
      <w:r>
        <w:rPr>
          <w:rFonts w:ascii="Times New Roman" w:hAnsi="Times New Roman" w:cs="Times New Roman" w:eastAsia="Times New Roman"/>
          <w:sz w:val="22"/>
        </w:rPr>
        <w:t xml:space="preserve"> copy-paste in Excel.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07 — Erwarteter Output Ohne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Erwarteter Output und Prüfraster (ohne Musterlösung)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