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sz w:val="36"/>
          <w:rFonts w:ascii="Times New Roman" w:hAnsi="Times New Roman" w:cs="Times New Roman" w:eastAsia="Times New Roman"/>
        </w:rPr>
        <w:t>08 Glossar Deutsch Englisch mit typischen Fallstricken</w:t>
      </w:r>
    </w:p>
    <w:p>
      <w:pPr>
        <w:spacing w:line="276" w:lineRule="auto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Trainingsmaterial für den ersten Big-Law-Sommer. Jeder Eintrag enthält den englischen Begriff, eine </w:t>
      </w:r>
      <w:r>
        <w:rPr>
          <w:b/>
          <w:rFonts w:ascii="Times New Roman" w:hAnsi="Times New Roman" w:cs="Times New Roman" w:eastAsia="Times New Roman"/>
          <w:sz w:val="22"/>
        </w:rPr>
        <w:t>funktionale</w:t>
      </w:r>
      <w:r>
        <w:rPr>
          <w:rFonts w:ascii="Times New Roman" w:hAnsi="Times New Roman" w:cs="Times New Roman" w:eastAsia="Times New Roman"/>
          <w:sz w:val="22"/>
        </w:rPr>
        <w:t xml:space="preserve"> deutsche Beschreibung, die häufige Fehlübersetzung, den dahinter steckenden Denkfehler und die saubere Lösung. </w:t>
      </w:r>
      <w:r>
        <w:rPr>
          <w:b/>
          <w:rFonts w:ascii="Times New Roman" w:hAnsi="Times New Roman" w:cs="Times New Roman" w:eastAsia="Times New Roman"/>
          <w:sz w:val="22"/>
        </w:rPr>
        <w:t>Keine Eins-zu-Eins-Übersetzung</w:t>
      </w:r>
      <w:r>
        <w:rPr>
          <w:rFonts w:ascii="Times New Roman" w:hAnsi="Times New Roman" w:cs="Times New Roman" w:eastAsia="Times New Roman"/>
          <w:sz w:val="22"/>
        </w:rPr>
        <w:t>.</w:t>
      </w:r>
    </w:p>
    <w:p>
      <w:pPr>
        <w:spacing w:line="276" w:lineRule="auto"/>
        <w:jc w:val="both"/>
      </w:pPr>
      <w:r>
        <w:rPr>
          <w:rFonts w:ascii="Times New Roman" w:hAnsi="Times New Roman" w:cs="Times New Roman" w:eastAsia="Times New Roman"/>
          <w:sz w:val="22"/>
        </w:rPr>
        <w:t>Lesehinweis: Wer hier scheitert, scheitert später beim Notar.</w:t>
      </w:r>
    </w:p>
    <w:p>
      <w:pPr>
        <w:keepNext/>
        <w:spacing w:before="160" w:after="80"/>
      </w:pPr>
      <w:r>
        <w:rPr>
          <w:b/>
          <w:sz w:val="26"/>
          <w:rFonts w:ascii="Times New Roman" w:hAnsi="Times New Roman" w:cs="Times New Roman" w:eastAsia="Times New Roman"/>
        </w:rPr>
        <w:t>1. Cap Table vs Gesellschafterliste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W w:type="dxa" w:w="4536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Englisch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Cap Table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Funktion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Internes Steuerungsinstrument der Gesellschaft, das </w:t>
            </w:r>
            <w:r>
              <w:rPr>
                <w:b/>
                <w:rFonts w:ascii="Times New Roman" w:hAnsi="Times New Roman" w:cs="Times New Roman" w:eastAsia="Times New Roman"/>
                <w:sz w:val="20"/>
              </w:rPr>
              <w:t>alle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Beteiligungstitel (Anteile, Optionen, Wandeldarlehen, VSOP, Warrants) ausweist, current und fully diluted, oft mit Szenariorechnung.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Häufige Fehlübersetzung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Gesellschafterliste.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Warum Falsch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Die Gesellschafterliste nach Paragraf 40 GmbHG ist eine </w:t>
            </w:r>
            <w:r>
              <w:rPr>
                <w:b/>
                <w:rFonts w:ascii="Times New Roman" w:hAnsi="Times New Roman" w:cs="Times New Roman" w:eastAsia="Times New Roman"/>
                <w:sz w:val="20"/>
              </w:rPr>
              <w:t>registerrechtlich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vorgeschriebene Liste der Inhaber von Geschäftsanteilen mit Vor-, Nachnamen, Geburtsdatum, Wohnort und der Höhe ihrer Nennbeträge. VSOP, virtuelle Optionen, Wandeldarlehen und nicht ausgeübte Optionen tauchen darin </w:t>
            </w:r>
            <w:r>
              <w:rPr>
                <w:b/>
                <w:rFonts w:ascii="Times New Roman" w:hAnsi="Times New Roman" w:cs="Times New Roman" w:eastAsia="Times New Roman"/>
                <w:sz w:val="20"/>
              </w:rPr>
              <w:t>nicht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auf. Wer Cap Table und Gesellschafterliste gleichsetzt, übersieht regelmäßig den ESOP-Pool und Convertibles.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Saubere Lösung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Beide Begriffe nebeneinander führen. Im Mandantenmemo den Begriff Gesellschafterliste im register-rechtlichen Sinn verwenden, den Begriff Cap Table für die wirtschaftliche Betrachtung. Im Term Sheet darauf achten, ob „shareholders" tatsächlich nur eingetragene Gesellschafter meint oder den wirtschaftlichen Kreis.</w:t>
            </w:r>
          </w:p>
        </w:tc>
      </w:tr>
    </w:tbl>
    <w:p>
      <w:pPr>
        <w:keepNext/>
        <w:spacing w:before="160" w:after="80"/>
      </w:pPr>
      <w:r>
        <w:rPr>
          <w:b/>
          <w:sz w:val="26"/>
          <w:rFonts w:ascii="Times New Roman" w:hAnsi="Times New Roman" w:cs="Times New Roman" w:eastAsia="Times New Roman"/>
        </w:rPr>
        <w:t>2. Fully Diluted Basis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W w:type="dxa" w:w="4536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Englisch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Fully Diluted Basis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Funktion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Rechengröße, die unterstellt, dass alle Optionen, Wandelrechte, Vesting-Tranchen und Pool-Reservierungen bereits in Anteile umgewandelt wurden. Wirtschaftliche Bezugsgröße für Valuation, Anti-Dilution und ESOP-Shuffle.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Häufige Fehlübersetzung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„Verwässert" als rechtliche Tatsache.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Warum Falsch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Fully diluted ist eine </w:t>
            </w:r>
            <w:r>
              <w:rPr>
                <w:b/>
                <w:rFonts w:ascii="Times New Roman" w:hAnsi="Times New Roman" w:cs="Times New Roman" w:eastAsia="Times New Roman"/>
                <w:sz w:val="20"/>
              </w:rPr>
              <w:t>Rechenannahme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keine Eigentumslage. Die Gründer </w:t>
            </w:r>
            <w:r>
              <w:rPr>
                <w:b/>
                <w:rFonts w:ascii="Times New Roman" w:hAnsi="Times New Roman" w:cs="Times New Roman" w:eastAsia="Times New Roman"/>
                <w:sz w:val="20"/>
              </w:rPr>
              <w:t>haben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noch ihre Anteile. Sie werden lediglich wirtschaftlich behandelt, als wenn der Pool und die Convertibles schon gewandelt wären.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Saubere Lösung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„Auf voll verwässerter Basis berechnet" mit ausdrücklicher Definition des Berechnungsumfangs. Klauseln formulieren: berücksichtigt werden ausgegebene Anteile, ausgegebene Optionen, reservierte aber noch nicht ausgegebene Optionen, ausstehende Wandelrechte. Wandeldarlehen werden mit der für sie maßgeblichen Wandlungsformel berücksichtigt.</w:t>
            </w:r>
          </w:p>
        </w:tc>
      </w:tr>
    </w:tbl>
    <w:p>
      <w:pPr>
        <w:keepNext/>
        <w:spacing w:before="160" w:after="80"/>
      </w:pPr>
      <w:r>
        <w:rPr>
          <w:b/>
          <w:sz w:val="26"/>
          <w:rFonts w:ascii="Times New Roman" w:hAnsi="Times New Roman" w:cs="Times New Roman" w:eastAsia="Times New Roman"/>
        </w:rPr>
        <w:t>3. Pre-Money und Post-Money Option Pool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W w:type="dxa" w:w="4536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Englisch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Pre-Money Option Pool / Post-Money Option Pool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Funktion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Frage, </w:t>
            </w:r>
            <w:r>
              <w:rPr>
                <w:b/>
                <w:rFonts w:ascii="Times New Roman" w:hAnsi="Times New Roman" w:cs="Times New Roman" w:eastAsia="Times New Roman"/>
                <w:sz w:val="20"/>
              </w:rPr>
              <w:t>wer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den ESOP-Pool wirtschaftlich trägt. Pre-Money: die Bestandsgesellschafter werden vor dem Investment verwässert, um Platz für den Pool zu schaffen. Post-Money: alle, einschließlich Investor, tragen den Pool anteilig.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Häufige Fehlübersetzung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„Vor Geld" und „nach Geld" als zeitliche Reihenfolge.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Warum Falsch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Es geht </w:t>
            </w:r>
            <w:r>
              <w:rPr>
                <w:b/>
                <w:rFonts w:ascii="Times New Roman" w:hAnsi="Times New Roman" w:cs="Times New Roman" w:eastAsia="Times New Roman"/>
                <w:sz w:val="20"/>
              </w:rPr>
              <w:t>nicht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um Zeitablauf, sondern um wirtschaftliche Lastverteilung des Pools. Pre-Money Pool ist für Gründer schlechter, weil ihre Quote vor dem Investment um den Pool sinkt und der Investor seine Quote unbelastet hält.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Saubere Lösung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In Term-Sheet-Verhandlungen ausdrücklich „increase to 12 percent on a fully diluted pre-money basis" mit Vorrechnung beider Szenarien dokumentieren. Mandantin Kunigunde am Tisch nachrechnen lassen.</w:t>
            </w:r>
          </w:p>
        </w:tc>
      </w:tr>
    </w:tbl>
    <w:p>
      <w:pPr>
        <w:keepNext/>
        <w:spacing w:before="160" w:after="80"/>
      </w:pPr>
      <w:r>
        <w:rPr>
          <w:b/>
          <w:sz w:val="26"/>
          <w:rFonts w:ascii="Times New Roman" w:hAnsi="Times New Roman" w:cs="Times New Roman" w:eastAsia="Times New Roman"/>
        </w:rPr>
        <w:t>4. Liquidation Preference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W w:type="dxa" w:w="4536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Englisch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Liquidation Preference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Funktion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Bevorzugte Verteilung des Exit-Erlöses an Preferred Shareholder vor Common Shareholdern. Greift auch bei Share Deals und Asset Deals, nicht nur in der Insolvenz.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Häufige Fehlübersetzung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„Insolvenzpräferenz".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Warum Falsch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„Liquidation" meint im Term-Sheet-Kontext jede </w:t>
            </w:r>
            <w:r>
              <w:rPr>
                <w:b/>
                <w:rFonts w:ascii="Times New Roman" w:hAnsi="Times New Roman" w:cs="Times New Roman" w:eastAsia="Times New Roman"/>
                <w:sz w:val="20"/>
              </w:rPr>
              <w:t>Liquidation Event Definition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die regelmäßig auch Share Sales, Mergers und substantielle Asset Sales umfasst. Übersetzt man mit Insolvenzpräferenz, missversteht man die wirtschaftliche Sprengkraft im Normalfall: dem </w:t>
            </w:r>
            <w:r>
              <w:rPr>
                <w:b/>
                <w:rFonts w:ascii="Times New Roman" w:hAnsi="Times New Roman" w:cs="Times New Roman" w:eastAsia="Times New Roman"/>
                <w:sz w:val="20"/>
              </w:rPr>
              <w:t>erfolgreichen Exit unterhalb einer Schwelle</w:t>
            </w:r>
            <w:r>
              <w:rPr>
                <w:rFonts w:ascii="Times New Roman" w:hAnsi="Times New Roman" w:cs="Times New Roman" w:eastAsia="Times New Roman"/>
                <w:sz w:val="20"/>
              </w:rPr>
              <w:t>.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Saubere Lösung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„Erlösvorzug bei Veräußerungs- oder Liquidationsereignis" mit ausdrücklicher Definition der Trigger Events; Waterfall ausrechnen, gerade für mittlere Exit-Szenarien zwischen Liquidation Preference Stack und as-converted-Schwelle.</w:t>
            </w:r>
          </w:p>
        </w:tc>
      </w:tr>
    </w:tbl>
    <w:p>
      <w:pPr>
        <w:keepNext/>
        <w:spacing w:before="160" w:after="80"/>
      </w:pPr>
      <w:r>
        <w:rPr>
          <w:b/>
          <w:sz w:val="26"/>
          <w:rFonts w:ascii="Times New Roman" w:hAnsi="Times New Roman" w:cs="Times New Roman" w:eastAsia="Times New Roman"/>
        </w:rPr>
        <w:t>5. Anti-Dilution Protection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W w:type="dxa" w:w="4536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Englisch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Broad-Based Weighted Average Anti-Dilution / Full Ratchet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Funktion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Anpassung des </w:t>
            </w:r>
            <w:r>
              <w:rPr>
                <w:b/>
                <w:rFonts w:ascii="Times New Roman" w:hAnsi="Times New Roman" w:cs="Times New Roman" w:eastAsia="Times New Roman"/>
                <w:sz w:val="20"/>
              </w:rPr>
              <w:t>Conversion Ratio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(also der Umtauschrate der Vorzugsanteile in Stammanteile bei Wandlung) bei einer Down Round, also bei einer Folgefinanzierung unter dem Preis der Series A.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Häufige Fehlübersetzung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„Verwässerungsschutz" gleich Bezugsrecht nach Paragraf 5 GmbHG-Gepflogenheit.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Warum Falsch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Anti-Dilution ist </w:t>
            </w:r>
            <w:r>
              <w:rPr>
                <w:b/>
                <w:rFonts w:ascii="Times New Roman" w:hAnsi="Times New Roman" w:cs="Times New Roman" w:eastAsia="Times New Roman"/>
                <w:sz w:val="20"/>
              </w:rPr>
              <w:t>kein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Bezugsrecht. Bezugsrechte regeln die Teilnahme an der </w:t>
            </w:r>
            <w:r>
              <w:rPr>
                <w:b/>
                <w:rFonts w:ascii="Times New Roman" w:hAnsi="Times New Roman" w:cs="Times New Roman" w:eastAsia="Times New Roman"/>
                <w:sz w:val="20"/>
              </w:rPr>
              <w:t>neuen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Kapitalerhöhung. Anti-Dilution regelt eine </w:t>
            </w:r>
            <w:r>
              <w:rPr>
                <w:b/>
                <w:rFonts w:ascii="Times New Roman" w:hAnsi="Times New Roman" w:cs="Times New Roman" w:eastAsia="Times New Roman"/>
                <w:sz w:val="20"/>
              </w:rPr>
              <w:t>rückwirkende Anpassung des Wandlungsverhältnisses</w:t>
            </w:r>
            <w:r>
              <w:rPr>
                <w:rFonts w:ascii="Times New Roman" w:hAnsi="Times New Roman" w:cs="Times New Roman" w:eastAsia="Times New Roman"/>
                <w:sz w:val="20"/>
              </w:rPr>
              <w:t>, also den nachträglichen Effekt auf den Stake des Investors. Beide Mechanismen können nebeneinander stehen, sie wirken aber unterschiedlich.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Saubere Lösung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Formel definieren. Bei Broad-Based Weighted Average: neue Conversion Price = alte Conversion Price mal (ausstehende Anteile plus zur ursprünglichen Conversion Price ausgegebene Geldmenge dividiert durch ausstehende Anteile plus tatsächlich ausgegebene Anteile aus der Down Round). Berücksichtigen, welche Emissionen ausgenommen sind: ESOP-Ausgaben, strategische Investments, Wandlung aus Convertibles.</w:t>
            </w:r>
          </w:p>
        </w:tc>
      </w:tr>
    </w:tbl>
    <w:p>
      <w:pPr>
        <w:keepNext/>
        <w:spacing w:before="160" w:after="80"/>
      </w:pPr>
      <w:r>
        <w:rPr>
          <w:b/>
          <w:sz w:val="26"/>
          <w:rFonts w:ascii="Times New Roman" w:hAnsi="Times New Roman" w:cs="Times New Roman" w:eastAsia="Times New Roman"/>
        </w:rPr>
        <w:t>6. Vesting, Cliff, Reverse Vesting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W w:type="dxa" w:w="4536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Englisch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Vesting / Cliff / Reverse Vesting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Funktion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Vesting beschreibt das </w:t>
            </w:r>
            <w:r>
              <w:rPr>
                <w:b/>
                <w:rFonts w:ascii="Times New Roman" w:hAnsi="Times New Roman" w:cs="Times New Roman" w:eastAsia="Times New Roman"/>
                <w:sz w:val="20"/>
              </w:rPr>
              <w:t>Erstarken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wirtschaftlich vergüteter Berechtigungen über die Zeit. Cliff: vor Ablauf der Cliff-Periode (häufig 12 Monate) vestet nichts. Reverse Vesting (bei Gründern): die Anteile sind </w:t>
            </w:r>
            <w:r>
              <w:rPr>
                <w:b/>
                <w:rFonts w:ascii="Times New Roman" w:hAnsi="Times New Roman" w:cs="Times New Roman" w:eastAsia="Times New Roman"/>
                <w:sz w:val="20"/>
              </w:rPr>
              <w:t>bereits voll gehalten</w:t>
            </w:r>
            <w:r>
              <w:rPr>
                <w:rFonts w:ascii="Times New Roman" w:hAnsi="Times New Roman" w:cs="Times New Roman" w:eastAsia="Times New Roman"/>
                <w:sz w:val="20"/>
              </w:rPr>
              <w:t>, unterliegen aber einem Rückgriff durch die Gesellschaft, der mit der Zeit abschmilzt.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Häufige Fehlübersetzung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Vesting gleich Anwartschaftsrecht.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Warum Falsch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Im deutschen Rechtssystem gibt es keinen passgenauen Begriff. „Anwartschaft" ist sachenrechtlich (Paragraf 925 BGB, Auflassungsvormerkung) anders besetzt. Im Gesellschaftsrecht wird Vesting in Deutschland überwiegend </w:t>
            </w:r>
            <w:r>
              <w:rPr>
                <w:b/>
                <w:rFonts w:ascii="Times New Roman" w:hAnsi="Times New Roman" w:cs="Times New Roman" w:eastAsia="Times New Roman"/>
                <w:sz w:val="20"/>
              </w:rPr>
              <w:t>schuldrechtlich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über Call-Optionen, Erwerbsrechte, Treuhand oder bedingte Übertragungen gelöst, nicht über ein dingliches Anwartschaftsrecht an Geschäftsanteilen.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Saubere Lösung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„Vesting-/Leaver-Regelung mit Call-Option zugunsten der Gesellschaft" mit klarer Differenzierung Bad-Leaver (Nominalwert), Good-Leaver (Verkehrswert), Vesting-Periode, Cliff und Crediting alter Vesting-Monate. Steuerliche Folgen separat mit Steuerberatung.</w:t>
            </w:r>
          </w:p>
        </w:tc>
      </w:tr>
    </w:tbl>
    <w:p>
      <w:pPr>
        <w:keepNext/>
        <w:spacing w:before="160" w:after="80"/>
      </w:pPr>
      <w:r>
        <w:rPr>
          <w:b/>
          <w:sz w:val="26"/>
          <w:rFonts w:ascii="Times New Roman" w:hAnsi="Times New Roman" w:cs="Times New Roman" w:eastAsia="Times New Roman"/>
        </w:rPr>
        <w:t>7. Bad Leaver und Good Leaver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W w:type="dxa" w:w="4536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Englisch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Bad Leaver / Good Leaver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Funktion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Wer aus welchem Grund das Unternehmen verlässt, bestimmt, zu welchem Preis seine Anteile zurückgeführt werden. Bad: Nominalwert. Good: Verkehrswert oder Fair Market Value.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Häufige Fehlübersetzung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Bad Leaver gleich „außerordentliche Kündigung".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Warum Falsch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Bad-Leaver-Kataloge sind regelmäßig </w:t>
            </w:r>
            <w:r>
              <w:rPr>
                <w:b/>
                <w:rFonts w:ascii="Times New Roman" w:hAnsi="Times New Roman" w:cs="Times New Roman" w:eastAsia="Times New Roman"/>
                <w:sz w:val="20"/>
              </w:rPr>
              <w:t>breiter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als die arbeitsrechtlichen Gründe für eine außerordentliche Kündigung. Sie können auch Pflichtverletzungen, Wettbewerbsverstöße, Geheimnisverrat und in einigen Konstellationen sogar freiwilliges Ausscheiden vor Ende einer Mindestperiode erfassen.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Saubere Lösung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Bad-Leaver-Katalog </w:t>
            </w:r>
            <w:r>
              <w:rPr>
                <w:b/>
                <w:rFonts w:ascii="Times New Roman" w:hAnsi="Times New Roman" w:cs="Times New Roman" w:eastAsia="Times New Roman"/>
                <w:sz w:val="20"/>
              </w:rPr>
              <w:t>abschließend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formulieren, mit klarer Subsumtion. Verhältnis zur arbeitsrechtlichen Kündigung gesondert klären; Vesting-Mechanik darf das Arbeitsrecht </w:t>
            </w:r>
            <w:r>
              <w:rPr>
                <w:b/>
                <w:rFonts w:ascii="Times New Roman" w:hAnsi="Times New Roman" w:cs="Times New Roman" w:eastAsia="Times New Roman"/>
                <w:sz w:val="20"/>
              </w:rPr>
              <w:t>nicht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umgehen, vergleiche BGH zu Hinauskündigungsklauseln in Gesellschafterstellung bei Manager-Beteiligungen (BGH-Linie seit Urteil vom 19.09.2005 – II ZR 173/04, Wirksamkeit von Hinauskündigungsklauseln nur bei sachlichem Grund; vor Verwendung verifizieren).</w:t>
            </w:r>
          </w:p>
        </w:tc>
      </w:tr>
    </w:tbl>
    <w:p>
      <w:pPr>
        <w:keepNext/>
        <w:spacing w:before="160" w:after="80"/>
      </w:pPr>
      <w:r>
        <w:rPr>
          <w:b/>
          <w:sz w:val="26"/>
          <w:rFonts w:ascii="Times New Roman" w:hAnsi="Times New Roman" w:cs="Times New Roman" w:eastAsia="Times New Roman"/>
        </w:rPr>
        <w:t>8. Drag-Along und Tag-Along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W w:type="dxa" w:w="4536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Englisch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Drag-Along Right / Tag-Along Right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Funktion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Drag: Mehrheit kann Minderheit </w:t>
            </w:r>
            <w:r>
              <w:rPr>
                <w:b/>
                <w:rFonts w:ascii="Times New Roman" w:hAnsi="Times New Roman" w:cs="Times New Roman" w:eastAsia="Times New Roman"/>
                <w:sz w:val="20"/>
              </w:rPr>
              <w:t>zwingen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ihre Anteile mitzuverkaufen. Tag: Minderheit darf bei Verkauf der Mehrheit </w:t>
            </w:r>
            <w:r>
              <w:rPr>
                <w:b/>
                <w:rFonts w:ascii="Times New Roman" w:hAnsi="Times New Roman" w:cs="Times New Roman" w:eastAsia="Times New Roman"/>
                <w:sz w:val="20"/>
              </w:rPr>
              <w:t>mitziehen</w:t>
            </w:r>
            <w:r>
              <w:rPr>
                <w:rFonts w:ascii="Times New Roman" w:hAnsi="Times New Roman" w:cs="Times New Roman" w:eastAsia="Times New Roman"/>
                <w:sz w:val="20"/>
              </w:rPr>
              <w:t>.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Häufige Fehlübersetzung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Drag gleich „Andienungspflicht", Tag gleich „Vorkaufsrecht".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Warum Falsch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Drag-Along ist </w:t>
            </w:r>
            <w:r>
              <w:rPr>
                <w:b/>
                <w:rFonts w:ascii="Times New Roman" w:hAnsi="Times New Roman" w:cs="Times New Roman" w:eastAsia="Times New Roman"/>
                <w:sz w:val="20"/>
              </w:rPr>
              <w:t>kein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Vorkaufsrecht und keine reine Andienungspflicht; es ist eine Verkaufsverpflichtung an einen identifizierten Drittkäufer zu bestimmten Konditionen. Tag-Along ist </w:t>
            </w:r>
            <w:r>
              <w:rPr>
                <w:b/>
                <w:rFonts w:ascii="Times New Roman" w:hAnsi="Times New Roman" w:cs="Times New Roman" w:eastAsia="Times New Roman"/>
                <w:sz w:val="20"/>
              </w:rPr>
              <w:t>kein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Vorkaufsrecht: der Mitverkauf erfolgt an den Käufer der ziehenden Mehrheit, nicht zwischen den Gesellschaftern.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Saubere Lösung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„Mitverkaufsverpflichtung (Drag-Along) zugunsten einer qualifizierten Mehrheit von … Prozent" und „Mitverkaufsrecht (Tag-Along) zugunsten von …" formulieren. Schwellen mit Satzung und Seed-SHA harmonisieren. Vinkulierung in Paragraf 6 der Satzung beachten.</w:t>
            </w:r>
          </w:p>
        </w:tc>
      </w:tr>
    </w:tbl>
    <w:p>
      <w:pPr>
        <w:keepNext/>
        <w:spacing w:before="160" w:after="80"/>
      </w:pPr>
      <w:r>
        <w:rPr>
          <w:b/>
          <w:sz w:val="26"/>
          <w:rFonts w:ascii="Times New Roman" w:hAnsi="Times New Roman" w:cs="Times New Roman" w:eastAsia="Times New Roman"/>
        </w:rPr>
        <w:t>9. Reps and Warranties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W w:type="dxa" w:w="4536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Englisch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Reps and Warranties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Funktion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Vertragliche Erklärungen und Garantien des Verkäufers über bestimmte Tatsachen. Sanktionierung über vertragliches Haftungsregime mit Cap, Basket, De-Minimis, Survival.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Häufige Fehlübersetzung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„Gewährleistung" gleich Paragraf 434 BGB.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Warum Falsch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Reps und Warranties sind </w:t>
            </w:r>
            <w:r>
              <w:rPr>
                <w:b/>
                <w:rFonts w:ascii="Times New Roman" w:hAnsi="Times New Roman" w:cs="Times New Roman" w:eastAsia="Times New Roman"/>
                <w:sz w:val="20"/>
              </w:rPr>
              <w:t>selbständige vertragliche Versprechen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im Rahmen einer </w:t>
            </w:r>
            <w:r>
              <w:rPr>
                <w:b/>
                <w:rFonts w:ascii="Times New Roman" w:hAnsi="Times New Roman" w:cs="Times New Roman" w:eastAsia="Times New Roman"/>
                <w:sz w:val="20"/>
              </w:rPr>
              <w:t>vertraglich definierten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Haftung. Die deutsche Sachmangelhaftung nach Paragraf 434 BGB ist beim Unternehmenskauf häufig ausgeschlossen oder modifiziert. Wer „Gewährleistung" sagt, weckt falsche gesetzliche Assoziationen.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Saubere Lösung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Im SPA selbständiges Garantieversprechen formulieren, BGB-Sachmangelhaftung ausschließen oder anpassen, Rechtsfolgen autonom regeln. Schadensbegriff, Mitverschulden, Schadensminderung definieren.</w:t>
            </w:r>
          </w:p>
        </w:tc>
      </w:tr>
    </w:tbl>
    <w:p>
      <w:pPr>
        <w:keepNext/>
        <w:spacing w:before="160" w:after="80"/>
      </w:pPr>
      <w:r>
        <w:rPr>
          <w:b/>
          <w:sz w:val="26"/>
          <w:rFonts w:ascii="Times New Roman" w:hAnsi="Times New Roman" w:cs="Times New Roman" w:eastAsia="Times New Roman"/>
        </w:rPr>
        <w:t>10. Indemnities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W w:type="dxa" w:w="4536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Englisch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Indemnities, Specific Indemnities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Funktion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Freistellungsverpflichtung des Verkäufers für </w:t>
            </w:r>
            <w:r>
              <w:rPr>
                <w:b/>
                <w:rFonts w:ascii="Times New Roman" w:hAnsi="Times New Roman" w:cs="Times New Roman" w:eastAsia="Times New Roman"/>
                <w:sz w:val="20"/>
              </w:rPr>
              <w:t>identifizierte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Risiken (Steuer-Indemnity, Litigation-Indemnity, IP-Indemnity), oft ohne Cap oder mit höherem Cap.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Häufige Fehlübersetzung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Indemnity gleich „Schadensersatz".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Warum Falsch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Indemnity ist eine </w:t>
            </w:r>
            <w:r>
              <w:rPr>
                <w:b/>
                <w:rFonts w:ascii="Times New Roman" w:hAnsi="Times New Roman" w:cs="Times New Roman" w:eastAsia="Times New Roman"/>
                <w:sz w:val="20"/>
              </w:rPr>
              <w:t>Freistellung</w:t>
            </w:r>
            <w:r>
              <w:rPr>
                <w:rFonts w:ascii="Times New Roman" w:hAnsi="Times New Roman" w:cs="Times New Roman" w:eastAsia="Times New Roman"/>
                <w:sz w:val="20"/>
              </w:rPr>
              <w:t>, also eine Befreiung des Begünstigten von einer Inanspruchnahme; sie kann Erfüllung, Verteidigung und Zahlungspflicht umfassen. Schadensersatz ist nur die Geldfolge eines Schadens.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Saubere Lösung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„Freistellungspflicht (Indemnity) bezogen auf …" mit Trigger, Verfahrensregeln (Notice, Control, Defense Conduct), Cap, Survival.</w:t>
            </w:r>
          </w:p>
        </w:tc>
      </w:tr>
    </w:tbl>
    <w:p>
      <w:pPr>
        <w:keepNext/>
        <w:spacing w:before="160" w:after="80"/>
      </w:pPr>
      <w:r>
        <w:rPr>
          <w:b/>
          <w:sz w:val="26"/>
          <w:rFonts w:ascii="Times New Roman" w:hAnsi="Times New Roman" w:cs="Times New Roman" w:eastAsia="Times New Roman"/>
        </w:rPr>
        <w:t>11. Consent Matters / Reserved Matters / Investor Director Approval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W w:type="dxa" w:w="4536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Englisch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Consent Matters, Reserved Matters, Investor Director Approval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Funktion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Liste von Geschäften, die </w:t>
            </w:r>
            <w:r>
              <w:rPr>
                <w:b/>
                <w:rFonts w:ascii="Times New Roman" w:hAnsi="Times New Roman" w:cs="Times New Roman" w:eastAsia="Times New Roman"/>
                <w:sz w:val="20"/>
              </w:rPr>
              <w:t>nicht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ohne Zustimmung des Investors oder des von ihm bestellten Directors getroffen werden dürfen. Im Delaware-Setting häufig Board-Veto.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Häufige Fehlübersetzung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„Beirats-Zustimmungskatalog" gleich Delaware Board veto.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Warum Falsch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Die GmbH kennt </w:t>
            </w:r>
            <w:r>
              <w:rPr>
                <w:b/>
                <w:rFonts w:ascii="Times New Roman" w:hAnsi="Times New Roman" w:cs="Times New Roman" w:eastAsia="Times New Roman"/>
                <w:sz w:val="20"/>
              </w:rPr>
              <w:t>kein Board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wie Delaware. Die Geschäftsführer sind organrechtlich allzuständig nach Paragraf 35 GmbHG. Ein Beirat hat im deutschen Recht </w:t>
            </w:r>
            <w:r>
              <w:rPr>
                <w:b/>
                <w:rFonts w:ascii="Times New Roman" w:hAnsi="Times New Roman" w:cs="Times New Roman" w:eastAsia="Times New Roman"/>
                <w:sz w:val="20"/>
              </w:rPr>
              <w:t>nur dann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Entscheidungsbefugnisse, wenn ihm diese durch Satzung oder Gesellschafterbeschluss übertragen sind. Eine schlichte Term-Sheet-Klausel „Investor Director Approval" ist GmbH-rechtlich kein Veto-Recht, sondern braucht Umsetzung in Satzung oder schuldrechtlich im SHA.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Saubere Lösung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Catalogue of Consent Matters in zwei Ebenen abbilden: (a) </w:t>
            </w:r>
            <w:r>
              <w:rPr>
                <w:b/>
                <w:rFonts w:ascii="Times New Roman" w:hAnsi="Times New Roman" w:cs="Times New Roman" w:eastAsia="Times New Roman"/>
                <w:sz w:val="20"/>
              </w:rPr>
              <w:t>Gesellschafter-Zustimmungsvorbehalte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im SHA oder in der Satzung; (b) </w:t>
            </w:r>
            <w:r>
              <w:rPr>
                <w:b/>
                <w:rFonts w:ascii="Times New Roman" w:hAnsi="Times New Roman" w:cs="Times New Roman" w:eastAsia="Times New Roman"/>
                <w:sz w:val="20"/>
              </w:rPr>
              <w:t>interne Geschäftsordnung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der Geschäftsführung. Reservierter Investor Director, wenn Beirat eingerichtet wird, ist eine </w:t>
            </w:r>
            <w:r>
              <w:rPr>
                <w:b/>
                <w:rFonts w:ascii="Times New Roman" w:hAnsi="Times New Roman" w:cs="Times New Roman" w:eastAsia="Times New Roman"/>
                <w:sz w:val="20"/>
              </w:rPr>
              <w:t>Beiratssitz-Frage</w:t>
            </w:r>
            <w:r>
              <w:rPr>
                <w:rFonts w:ascii="Times New Roman" w:hAnsi="Times New Roman" w:cs="Times New Roman" w:eastAsia="Times New Roman"/>
                <w:sz w:val="20"/>
              </w:rPr>
              <w:t>, kein Board-Sitz. Verhältnis Investor zu Gesellschaftsorganen sauber trennen.</w:t>
            </w:r>
          </w:p>
        </w:tc>
      </w:tr>
    </w:tbl>
    <w:p>
      <w:pPr>
        <w:keepNext/>
        <w:spacing w:before="160" w:after="80"/>
      </w:pPr>
      <w:r>
        <w:rPr>
          <w:b/>
          <w:sz w:val="26"/>
          <w:rFonts w:ascii="Times New Roman" w:hAnsi="Times New Roman" w:cs="Times New Roman" w:eastAsia="Times New Roman"/>
        </w:rPr>
        <w:t>12. Permitted Transfers und ROFR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W w:type="dxa" w:w="4536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Englisch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Permitted Transfers / Right of First Refusal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Funktion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Permitted Transfers: Übertragungen, die ohne Zustimmung wirksam sind (Affiliate, Estate, internal restructurings). ROFR: Vorkaufsrecht bei externer Übertragung.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Häufige Fehlübersetzung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Permitted Transfer gleich „Befreiung von Paragraf 17 GmbHG".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Warum Falsch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Paragraf 15 Absatz 3 GmbHG ordnet die notarielle Beurkundung der Anteilsübertragung. </w:t>
            </w:r>
            <w:r>
              <w:rPr>
                <w:b/>
                <w:rFonts w:ascii="Times New Roman" w:hAnsi="Times New Roman" w:cs="Times New Roman" w:eastAsia="Times New Roman"/>
                <w:sz w:val="20"/>
              </w:rPr>
              <w:t>Keine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Vertragsklausel kann die notarielle Form ersetzen. Permitted Transfers definieren nur, welche Übertragungen ohne zusätzliche Zustimmung wirksam sind, nicht, welche formfrei wirksam sind.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Saubere Lösung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Permitted-Transfer-Katalog in Satzung und SHA spiegeln; in Satzung verankern, dass diese Übertragungen vinkulierungsfrei sind. Notarielle Form bleibt immer Pflicht.</w:t>
            </w:r>
          </w:p>
        </w:tc>
      </w:tr>
    </w:tbl>
    <w:p>
      <w:pPr>
        <w:keepNext/>
        <w:spacing w:before="160" w:after="80"/>
      </w:pPr>
      <w:r>
        <w:rPr>
          <w:b/>
          <w:sz w:val="26"/>
          <w:rFonts w:ascii="Times New Roman" w:hAnsi="Times New Roman" w:cs="Times New Roman" w:eastAsia="Times New Roman"/>
        </w:rPr>
        <w:t>13. English Contract under German Law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W w:type="dxa" w:w="4536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Englisch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English language contract governed by German law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Funktion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Englischer Vertrag mit Rechtswahlklausel deutsches Recht.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Häufige Fehlübersetzung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„Wir können einfach Englisch sprechen und Deutsch denken".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Warum Falsch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Anwendbares Recht und Vertragssprache sind getrennt. Englische Begriffe werden </w:t>
            </w:r>
            <w:r>
              <w:rPr>
                <w:b/>
                <w:rFonts w:ascii="Times New Roman" w:hAnsi="Times New Roman" w:cs="Times New Roman" w:eastAsia="Times New Roman"/>
                <w:sz w:val="20"/>
              </w:rPr>
              <w:t>nach deutschem Recht ausgelegt</w:t>
            </w:r>
            <w:r>
              <w:rPr>
                <w:rFonts w:ascii="Times New Roman" w:hAnsi="Times New Roman" w:cs="Times New Roman" w:eastAsia="Times New Roman"/>
                <w:sz w:val="20"/>
              </w:rPr>
              <w:t>, was zu Doppelinterpretationen führt. Notariell zu beurkundende Erklärungen verlangen nach Paragraf 5 Beurkundungsgesetz Übersetzung oder den Verzicht der Beteiligten unter strengen Voraussetzungen. Vor Gericht gilt Paragraf 184 GVG: Gerichtssprache ist deutsch.</w:t>
            </w:r>
          </w:p>
        </w:tc>
      </w:tr>
      <w:tr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Saubere Lösung</w:t>
            </w:r>
          </w:p>
        </w:tc>
        <w:tc>
          <w:tcPr>
            <w:tcW w:type="dxa" w:w="45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Sprachklausel mit klarer Festlegung der Vertragssprache; Definition englischer Begriffe in den Definitionen-Klauseln; klare Trennung der Dokumente, die beurkundungspflichtig sind (Satzung, Anteilsabtretung) und in deutscher Sprache notariell beurkundet werden müssen, von schuldrechtlichen Begleitdokumenten (SHA, Side Letters), die rein englisch sein können.</w:t>
            </w:r>
          </w:p>
        </w:tc>
      </w:tr>
    </w:tbl>
    <w:p>
      <w:pPr>
        <w:keepNext/>
        <w:spacing w:before="160" w:after="80"/>
      </w:pPr>
      <w:r>
        <w:rPr>
          <w:b/>
          <w:sz w:val="26"/>
          <w:rFonts w:ascii="Times New Roman" w:hAnsi="Times New Roman" w:cs="Times New Roman" w:eastAsia="Times New Roman"/>
        </w:rPr>
        <w:t>14. Wichtige Quellen zur Verifikation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Paragraf 40 GmbHG (Gesellschafterliste): https://www.gesetze-im-internet.de/gmbhg/__40.html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Paragraf 15 GmbHG (Form der Anteilsübertragung): https://www.gesetze-im-internet.de/gmbhg/__15.html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Paragraf 53 GmbHG (Satzungsänderung): https://www.gesetze-im-internet.de/gmbhg/__53.html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Paragraf 5 Absatz 2 BeurkG (Beurkundung in fremder Sprache): https://www.gesetze-im-internet.de/beurkg/__5.html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Paragraf 184 GVG (Gerichtssprache): https://www.gesetze-im-internet.de/gvg/__184.html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Paragraf 433 ff., 434 BGB (Sachmangel): https://www.gesetze-im-internet.de/bgb/__434.html</w:t>
      </w:r>
    </w:p>
    <w:p>
      <w:pPr>
        <w:spacing w:line="276" w:lineRule="auto"/>
        <w:jc w:val="both"/>
      </w:pPr>
      <w:r>
        <w:rPr>
          <w:rFonts w:ascii="Times New Roman" w:hAnsi="Times New Roman" w:cs="Times New Roman" w:eastAsia="Times New Roman"/>
          <w:sz w:val="22"/>
        </w:rPr>
        <w:t>Jedes Aktenzeichen vor Verwendung über dejure.org oder Bundesgerichtshof.de selbst prüfen. Kein BeckRS, kein Juris als alleinige Quelle.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896"/>
      <w:gridCol w:w="3175"/>
    </w:tblGrid>
    <w:tr>
      <w:tc>
        <w:tcPr>
          <w:tcW w:type="dxa" w:w="5897"/>
        </w:tcPr>
        <w:p>
          <w:pPr>
            <w:spacing w:after="0"/>
          </w:pPr>
          <w:r>
            <w:rPr>
              <w:b w:val="0"/>
              <w:sz w:val="18"/>
              <w:rFonts w:ascii="Times New Roman" w:hAnsi="Times New Roman" w:cs="Times New Roman" w:eastAsia="Times New Roman"/>
            </w:rPr>
            <w:t>Vertraulich — Lehrmaterial Didaktisches Gesellschaftsrecht</w:t>
          </w:r>
        </w:p>
      </w:tc>
      <w:tc>
        <w:tcPr>
          <w:tcW w:type="dxa" w:w="3175"/>
        </w:tcPr>
        <w:p>
          <w:pPr>
            <w:spacing w:after="0"/>
            <w:jc w:val="right"/>
          </w:pPr>
          <w:r>
            <w:rPr>
              <w:b w:val="0"/>
              <w:sz w:val="18"/>
              <w:rFonts w:ascii="Times New Roman" w:hAnsi="Times New Roman" w:cs="Times New Roman" w:eastAsia="Times New Roman"/>
            </w:rPr>
            <w:t xml:space="preserve">Seite </w:t>
          </w:r>
          <w:r>
            <w:rPr>
              <w:rFonts w:ascii="Times New Roman" w:hAnsi="Times New Roman" w:cs="Times New Roman" w:eastAsia="Times New Roman"/>
              <w:sz w:val="18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b w:val="0"/>
              <w:sz w:val="18"/>
              <w:rFonts w:ascii="Times New Roman" w:hAnsi="Times New Roman" w:cs="Times New Roman" w:eastAsia="Times New Roman"/>
            </w:rPr>
            <w:t xml:space="preserve"> von </w:t>
          </w:r>
          <w:r>
            <w:rPr>
              <w:rFonts w:ascii="Times New Roman" w:hAnsi="Times New Roman" w:cs="Times New Roman" w:eastAsia="Times New Roman"/>
              <w:sz w:val="18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896"/>
      <w:gridCol w:w="3175"/>
    </w:tblGrid>
    <w:tr>
      <w:tc>
        <w:tcPr>
          <w:tcW w:type="dxa" w:w="5897"/>
        </w:tcPr>
        <w:p>
          <w:pPr>
            <w:spacing w:after="0"/>
          </w:pPr>
          <w:r>
            <w:rPr>
              <w:b w:val="0"/>
              <w:sz w:val="18"/>
              <w:rFonts w:ascii="Times New Roman" w:hAnsi="Times New Roman" w:cs="Times New Roman" w:eastAsia="Times New Roman"/>
            </w:rPr>
            <w:t>Kometenfalter Systems GmbH — Series A Project Comet Moth</w:t>
          </w:r>
        </w:p>
      </w:tc>
      <w:tc>
        <w:tcPr>
          <w:tcW w:type="dxa" w:w="3175"/>
        </w:tcPr>
        <w:p>
          <w:pPr>
            <w:spacing w:after="0"/>
            <w:jc w:val="right"/>
          </w:pPr>
          <w:r>
            <w:rPr>
              <w:b w:val="0"/>
              <w:sz w:val="18"/>
              <w:rFonts w:ascii="Times New Roman" w:hAnsi="Times New Roman" w:cs="Times New Roman" w:eastAsia="Times New Roman"/>
            </w:rPr>
            <w:t>08 — Glossar Deutsch Englisch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 Glossar Deutsch Englisch mit typischen Fallstricken</dc:title>
  <dc:subject/>
  <dc:creator>Perplexity Computer</dc:creator>
  <cp:keywords/>
  <dc:description>Didaktisches Gesellschaftsrecht — English Business Terms</dc:description>
  <cp:lastModifiedBy/>
  <cp:revision>1</cp:revision>
  <dcterms:created xsi:type="dcterms:W3CDTF">2013-12-23T23:15:00Z</dcterms:created>
  <dcterms:modified xsi:type="dcterms:W3CDTF">2013-12-23T23:15:00Z</dcterms:modified>
  <cp:category>Didaktisches Gesellschaftsrecht — English Business Terms</cp:category>
</cp:coreProperties>
</file>