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15 Closing Checkliste Conditions Precedent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Interne Closing-Checkliste mit allen Conditions Precedent (CPs) und Closing Deliverables. Datenraum-Auszug. Fiktiv.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CPs und Deliverables Gesamtübersicht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Nr.</w:t>
            </w:r>
          </w:p>
        </w:tc>
        <w:tc>
          <w:tcPr>
            <w:tcW w:type="dxa" w:w="1512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Item</w:t>
            </w:r>
          </w:p>
        </w:tc>
        <w:tc>
          <w:tcPr>
            <w:tcW w:type="dxa" w:w="1512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Type</w:t>
            </w:r>
          </w:p>
        </w:tc>
        <w:tc>
          <w:tcPr>
            <w:tcW w:type="dxa" w:w="1512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Verantwortlich</w:t>
            </w:r>
          </w:p>
        </w:tc>
        <w:tc>
          <w:tcPr>
            <w:tcW w:type="dxa" w:w="1512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Status</w:t>
            </w:r>
          </w:p>
        </w:tc>
        <w:tc>
          <w:tcPr>
            <w:tcW w:type="dxa" w:w="1512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Dependencies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Final Cap Table v18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Mandantenkanzlei + CFO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Pool-Shuffle entschieden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Wandlung Tante Ermelind beurkundet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Notariat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Convertible-Wandlungsformel mit Northbridge geklärt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Pool-Erhöhung beschlossen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Gesellschafterversammlung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Pre-/Post-Money entschieden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Satzungsneufassung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Mandantenkanzlei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Reserved-Matters-Mapping abgeschlossen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SHA Series A unterzeichnet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beide Seiten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offene Markup-Punkte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Investment Agreement unterzeichnet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beide Seiten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mit SHA verbunden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Side Letters Northbridge und Krämer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beide Seiten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inhaltlich nicht final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Beirats-Geschäftsordnung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Mandantenkanzlei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Beiratszusammensetzung offen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Investor Director Bestellung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Gesellschafterversammlung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Identifikation offen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Disclosure Letter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Mandantenkanzlei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DD läuft noch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Officer Certificate Geschäftsführer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Geschäftsführer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Standard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12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Bank-Bestätigung Disagio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Bank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nach Eintragung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13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Subscription Agreement unterzeichnet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Investoren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Übernahmeerklärungen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14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Apostille Northbridge Vollmacht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+ LU-Notar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Frist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15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Vollmachten Krämer Angel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Krämer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Frist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Beglaubigte Übersetzung Vollmachten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Übersetzungsbüro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Frist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17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KYC Northbridge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GwG-Vorgaben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18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KYC Krämer Angel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Krämer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GwG-Vorgaben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19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KYC Tante Ermelind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Tante Ermelind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GwG-Vorgaben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20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Mandantin Kunigunde Pre-Closing-Briefing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Mandantenkanzlei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sobald SHA final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21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Steuerliche Klärung VSOP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Steuerberatung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mit Closing-Dokumentation abgestimmt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IP-Bereinigung Entwicklerverträge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 minor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Mandantenkanzlei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rot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DD-Red-Flag 05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23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Customer Consent Change of Control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Mandantin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DD-Red-Flag 05; sofern Closing als Change of Control klassifiziert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24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DSGVO Auftragsverarbeiter-Verträge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Mandantin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Standard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25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Verzicht Stahlauge auf Pro-Rata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sofern Stahlauge nicht mitzieht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26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Bestätigung Seed-Präferenz Stahlauge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+ Mandantenkanzlei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gelb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im SHA als Bestätigung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27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Officer Certificate Investoren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Deliverable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Investoren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Standard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Liste neuer Gesellschafter nach Paragraf 40 GmbHG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Notar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nach Beurkundung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GwG-Transparenzregistermeldung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Post-Closing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Geschäftsführer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innerhalb Frist nach Closing</w:t>
            </w:r>
          </w:p>
        </w:tc>
      </w:tr>
      <w:tr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30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Bekanntmachung Eintragung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Post-Closing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Notar/Register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grün</w:t>
            </w:r>
          </w:p>
        </w:tc>
        <w:tc>
          <w:tcPr>
            <w:tcW w:type="dxa" w:w="151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nach Eintragung</w:t>
            </w:r>
          </w:p>
        </w:tc>
      </w:tr>
    </w:tbl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Legende: grün = Standard, kein Risiko. gelb = in Bearbeitung. rot = offene Verhandlungs- oder Klärungsthemen.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CPs Detail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(a) CP 1: Final Cap Table v18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Pre-Money 12 Mio. EUR fully diluted. Pool soll 12 Prozent post-Pool-Shuffle erreichen. Wandlung Tante Ermelind eingerechnet, Variante Valuation Cap.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To do bis Closing: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Variante Pool pre-money vs post-money rechnen, mit Mandantin Kunigunde am Tisch durchgehen.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VSOP-Anteile separat im Cap Table ausweisen, nicht in Gesellschafterliste.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Wandlung Convertible mit Anteilszahl finalisieren.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(b) CP 2: Wandlung Tante Ermelind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Beurkundete Übernahmeerklärung Tante Ermelind, Wandlung im Rahmen der Kapitalerhöhung, Anteilszahl nach Wandlungsformel.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To do: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Wandlungsschreiben Tante Ermelind formgerecht (beurkundungspflichtig nach Paragraf 55 GmbHG für die Übernahmeerklärung).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MFL-Check abschließen.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Side Letter Tante Ermelind aufsetzen, sofern Informationsrechte und Pro-Rata gewünscht.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(c) CP 5 und CP 6: SHA und Investment Agreement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Offene Markup-Punkte aus Datei 11 abarbeiten: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Liquidation Preference 1x participating cap 2x vs 1x non-participating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Vesting Credit 18 Monate vs 24 Monate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Drag-Schwelle 50 Prozent + Majority vs 60 Prozent + Majority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Reserved Matters Liste finalisieren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(d) CP 10: Disclosure Letter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Spielt die Reps and Warranties aus dem SPA-Teil. Hier eintragen: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Wandeldarlehen Tante Ermelind (Section 4.x „Other Material Agreements").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IP-Lage Entwicklerverträge mit „work made for hire"-Formulierung.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Customer Consent Change of Control bei Enterprise-Kunde.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VSOP-Programm Stand.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Beiratsbeschlüsse Slack-Stichpunkte.</w:t>
      </w:r>
    </w:p>
    <w:p>
      <w:pPr>
        <w:keepNext/>
        <w:spacing w:before="120" w:after="60"/>
      </w:pPr>
      <w:r>
        <w:rPr>
          <w:b/>
          <w:sz w:val="22"/>
          <w:rFonts w:ascii="Times New Roman" w:hAnsi="Times New Roman" w:cs="Times New Roman" w:eastAsia="Times New Roman"/>
        </w:rPr>
        <w:t>(e) CP 22: IP-Bereinigung Entwicklerverträge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DD-Red-Flag 05. Bis Closing: ergänzende Abtretungserklärung der Entwickler, beidseitig unterzeichnet, schriftliche Bestätigung der Übertragung nach deutschem Recht (Paragraf 31 ff. UrhG).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CP-Vergleich gegen Term-Sheet-CP-Liste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Hildemar muss vor Closing prüfen: was steht im Term Sheet als CP, was steht in der CP-Liste oben, und wo gibt es Lücken oder Doppelungen.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Term Sheet CP</w:t>
            </w:r>
          </w:p>
        </w:tc>
        <w:tc>
          <w:tcPr>
            <w:tcW w:type="dxa" w:w="302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Interne CP-Liste</w:t>
            </w:r>
          </w:p>
        </w:tc>
        <w:tc>
          <w:tcPr>
            <w:tcW w:type="dxa" w:w="3024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Lücke / Anmerkung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„Satisfactory legal due diligence"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 10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breite Klausel, intern in DD-Findings übersetzt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„No material adverse change"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nicht in interner Liste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bewusst ausgelassen, prüfen ob für Mandantin tragbar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„Approval of the Investment Committee"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nicht in interner Liste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Northbridge-internes Approval, außerhalb unserer Kontrolle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„Customary closing certificates"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CP 11, 27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erfasst</w:t>
            </w:r>
          </w:p>
        </w:tc>
      </w:tr>
      <w:tr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„Bring-down of representations"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nicht in interner Liste</w:t>
            </w:r>
          </w:p>
        </w:tc>
        <w:tc>
          <w:tcPr>
            <w:tcW w:type="dxa" w:w="30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übersehen, ergänzen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4. Post-Closing-Themen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Bekanntmachung der Eintragung im elektronischen Bundesanzeiger.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Aktualisierung Transparenzregister nach GwG.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Update KYC bei Banken.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VSOP-Update an Teilnehmer.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Public Communication mit Mandantin abstimmen (PR-Erlaubnis, Logo-Rechte).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Quartalsweise Information-Rights-Stack scharf stellen.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5. Senior-Review-Gates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Vor Closing prüft Adelheid: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Times New Roman" w:hAnsi="Times New Roman" w:cs="Times New Roman" w:eastAsia="Times New Roman"/>
          <w:sz w:val="22"/>
        </w:rPr>
        <w:t>CP-Liste vollständig und konsistent mit Term Sheet.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Times New Roman" w:hAnsi="Times New Roman" w:cs="Times New Roman" w:eastAsia="Times New Roman"/>
          <w:sz w:val="22"/>
        </w:rPr>
        <w:t>Wandlung Tante Ermelind formgerecht und in Cap Table abgebildet.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Times New Roman" w:hAnsi="Times New Roman" w:cs="Times New Roman" w:eastAsia="Times New Roman"/>
          <w:sz w:val="22"/>
        </w:rPr>
        <w:t>Drag- und Vesting-Verhandlungsergebnisse mit Mandantin schriftlich abgestimmt.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Times New Roman" w:hAnsi="Times New Roman" w:cs="Times New Roman" w:eastAsia="Times New Roman"/>
          <w:sz w:val="22"/>
        </w:rPr>
        <w:t>Notarslot und Übersetzungslogistik gesichert.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rFonts w:ascii="Times New Roman" w:hAnsi="Times New Roman" w:cs="Times New Roman" w:eastAsia="Times New Roman"/>
          <w:sz w:val="22"/>
        </w:rPr>
        <w:t>Mandantenmemo in deutscher Sprache, ohne Anglizismen-Stapel, freigegeben.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6. </w:t>
      </w:r>
      <w:r>
        <w:rPr>
          <w:rFonts w:ascii="Times New Roman" w:hAnsi="Times New Roman" w:cs="Times New Roman" w:eastAsia="Times New Roman"/>
          <w:sz w:val="22"/>
        </w:rPr>
        <w:t>Disclosure Letter vollständig.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15 — Closing Checkliste Cp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 Closing Checkliste Conditions Precedent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