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6"/>
          <w:rFonts w:ascii="Times New Roman" w:hAnsi="Times New Roman" w:cs="Times New Roman" w:eastAsia="Times New Roman"/>
        </w:rPr>
        <w:t>17 Anschauungsmaterial und Formate Index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Diese Datei erschließt die nicht reinen Markdown-Unterlagen der Testakte. Sie sind fiktiv, aber absichtlich so gestaltet, wie Material in einem echten Dealroom auftauchen kann: nicht perfekt, teilweise informell, teilweise visuell, teilweise rechnerisch.</w:t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1. Neue Formate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Datei</w:t>
            </w:r>
          </w:p>
        </w:tc>
        <w:tc>
          <w:tcPr>
            <w:tcW w:type="dxa" w:w="2268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Format</w:t>
            </w:r>
          </w:p>
        </w:tc>
        <w:tc>
          <w:tcPr>
            <w:tcW w:type="dxa" w:w="2268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Was simuliert wird</w:t>
            </w:r>
          </w:p>
        </w:tc>
        <w:tc>
          <w:tcPr>
            <w:tcW w:type="dxa" w:w="2268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Wofür sie gut ist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Courier New" w:hAnsi="Courier New" w:cs="Courier New" w:eastAsia="Courier New"/>
                <w:sz w:val="20"/>
              </w:rPr>
              <w:t>18-cap-table-waterfall-training.xlsx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Excel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Cap Table, Pool pre-/post-money, Wandeldarlehen, Liquidation-Preference-Waterfall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Zahlenlogik sichtbar machen, Annahmen kontrollieren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Courier New" w:hAnsi="Courier New" w:cs="Courier New" w:eastAsia="Courier New"/>
                <w:sz w:val="20"/>
              </w:rPr>
              <w:t>19-notar-scan-beurkundungssprache.pdf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PDF-Scan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handschriftlich wirkende Notar-/Associate-Notiz zu Sprache, Satzung, Beurkundung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Form- und Sprach-Gate trainieren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Courier New" w:hAnsi="Courier New" w:cs="Courier New" w:eastAsia="Courier New"/>
                <w:sz w:val="20"/>
              </w:rPr>
              <w:t>20-whiteboard-foto-deal-map.jpg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JPEG-Foto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Whiteboard-Skizze mit Dealstruktur, Dokumenten und Spezialskills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schnelle visuelle Orientierung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Courier New" w:hAnsi="Courier New" w:cs="Courier New" w:eastAsia="Courier New"/>
                <w:sz w:val="20"/>
              </w:rPr>
              <w:t>21-investor-email-screenshot.jpg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JPEG-Screenshot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abgeschnittener Email-Screenshot der Gegenseite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Quellenkritik: Screenshot ist keine vollständige Vertragsfassung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Courier New" w:hAnsi="Courier New" w:cs="Courier New" w:eastAsia="Courier New"/>
                <w:sz w:val="20"/>
              </w:rPr>
              <w:t>22-whatsapp-screenshot.jpg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JPEG-Screenshot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Chat-Auszug zu fully diluted, Investor Director, Drag-Along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informelle Anweisung vs. belastbarer Auftrag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Courier New" w:hAnsi="Courier New" w:cs="Courier New" w:eastAsia="Courier New"/>
                <w:sz w:val="20"/>
              </w:rPr>
              <w:t>23-rookie-cheatsheet-corporate-legal-english.pdf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PDF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einseitiges Lernblatt mit Begriffskarten und Senior-Gates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Einstieg für Anfänger und Demo im Plugin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2. Didaktischer Einsatz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1. </w:t>
      </w:r>
      <w:r>
        <w:rPr>
          <w:b/>
          <w:rFonts w:ascii="Times New Roman" w:hAnsi="Times New Roman" w:cs="Times New Roman" w:eastAsia="Times New Roman"/>
          <w:sz w:val="22"/>
        </w:rPr>
        <w:t>Nicht sofort lösen.</w:t>
      </w:r>
      <w:r>
        <w:rPr>
          <w:rFonts w:ascii="Times New Roman" w:hAnsi="Times New Roman" w:cs="Times New Roman" w:eastAsia="Times New Roman"/>
          <w:sz w:val="22"/>
        </w:rPr>
        <w:t xml:space="preserve"> Zuerst jedes Material als Dokumentkarte erfassen: Wer, wann, wozu, Sprache, Verlässlichkeit.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2. </w:t>
      </w:r>
      <w:r>
        <w:rPr>
          <w:b/>
          <w:rFonts w:ascii="Times New Roman" w:hAnsi="Times New Roman" w:cs="Times New Roman" w:eastAsia="Times New Roman"/>
          <w:sz w:val="22"/>
        </w:rPr>
        <w:t>Sichtbares von Unsichtbarem trennen.</w:t>
      </w:r>
      <w:r>
        <w:rPr>
          <w:rFonts w:ascii="Times New Roman" w:hAnsi="Times New Roman" w:cs="Times New Roman" w:eastAsia="Times New Roman"/>
          <w:sz w:val="22"/>
        </w:rPr>
        <w:t xml:space="preserve"> Ein Screenshot zeigt nur einen Ausschnitt. Ein Scan kann Randnotizen enthalten, aber nicht automatisch den finalen Vertrag.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3. </w:t>
      </w:r>
      <w:r>
        <w:rPr>
          <w:b/>
          <w:rFonts w:ascii="Times New Roman" w:hAnsi="Times New Roman" w:cs="Times New Roman" w:eastAsia="Times New Roman"/>
          <w:sz w:val="22"/>
        </w:rPr>
        <w:t>Zahlen immer in Annahmen zerlegen.</w:t>
      </w:r>
      <w:r>
        <w:rPr>
          <w:rFonts w:ascii="Times New Roman" w:hAnsi="Times New Roman" w:cs="Times New Roman" w:eastAsia="Times New Roman"/>
          <w:sz w:val="22"/>
        </w:rPr>
        <w:t xml:space="preserve"> Excel-Modelle sind keine Wahrheit, sondern sichtbar gemachte Annahmen.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4. </w:t>
      </w:r>
      <w:r>
        <w:rPr>
          <w:b/>
          <w:rFonts w:ascii="Times New Roman" w:hAnsi="Times New Roman" w:cs="Times New Roman" w:eastAsia="Times New Roman"/>
          <w:sz w:val="22"/>
        </w:rPr>
        <w:t>Chat nie als Vertrag behandeln.</w:t>
      </w:r>
      <w:r>
        <w:rPr>
          <w:rFonts w:ascii="Times New Roman" w:hAnsi="Times New Roman" w:cs="Times New Roman" w:eastAsia="Times New Roman"/>
          <w:sz w:val="22"/>
        </w:rPr>
        <w:t xml:space="preserve"> WhatsApp-Nachrichten können Arbeitsanweisungen, Rückfragen oder Indizien sein, ersetzen aber nicht die Langformdokumente.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5. </w:t>
      </w:r>
      <w:r>
        <w:rPr>
          <w:b/>
          <w:rFonts w:ascii="Times New Roman" w:hAnsi="Times New Roman" w:cs="Times New Roman" w:eastAsia="Times New Roman"/>
          <w:sz w:val="22"/>
        </w:rPr>
        <w:t>Skill-Routing ernst nehmen.</w:t>
      </w:r>
      <w:r>
        <w:rPr>
          <w:rFonts w:ascii="Times New Roman" w:hAnsi="Times New Roman" w:cs="Times New Roman" w:eastAsia="Times New Roman"/>
          <w:sz w:val="22"/>
        </w:rPr>
        <w:t xml:space="preserve"> Mehrere Formate bedeuten meist mehrere Spezialskills.</w:t>
      </w: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3. Erwartete Ausgabe bei Bearbeitung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Das Plugin soll nach Sichtung der Formate eine Tabelle liefern: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Quelle</w:t>
            </w:r>
          </w:p>
        </w:tc>
        <w:tc>
          <w:tcPr>
            <w:tcW w:type="dxa" w:w="181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Verlässlichkeit</w:t>
            </w:r>
          </w:p>
        </w:tc>
        <w:tc>
          <w:tcPr>
            <w:tcW w:type="dxa" w:w="181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Top-Begriffe</w:t>
            </w:r>
          </w:p>
        </w:tc>
        <w:tc>
          <w:tcPr>
            <w:tcW w:type="dxa" w:w="181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deutsches Risiko</w:t>
            </w:r>
          </w:p>
        </w:tc>
        <w:tc>
          <w:tcPr>
            <w:tcW w:type="dxa" w:w="1814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nächster Skill</w:t>
            </w:r>
          </w:p>
        </w:tc>
      </w:tr>
    </w:tbl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Danach soll es einen 30-Minuten-Lernpfad und ein Partnerbriefing-Skelett erzeugen.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Vertraulich — Lehrmaterial Didaktisches Gesellschaftsrecht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Seite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 von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Kometenfalter Systems GmbH — Series A Project Comet Moth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17 — Anschauungsmaterial Und Formate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Anschauungsmaterial und Formate Index</dc:title>
  <dc:subject/>
  <dc:creator>Perplexity Computer</dc:creator>
  <cp:keywords/>
  <dc:description>Didaktisches Gesellschaftsrecht — English Business Terms</dc:description>
  <cp:lastModifiedBy/>
  <cp:revision>1</cp:revision>
  <dcterms:created xsi:type="dcterms:W3CDTF">2013-12-23T23:15:00Z</dcterms:created>
  <dcterms:modified xsi:type="dcterms:W3CDTF">2013-12-23T23:15:00Z</dcterms:modified>
  <cp:category>Didaktisches Gesellschaftsrecht — English Business Terms</cp:category>
</cp:coreProperties>
</file>