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6"/>
          <w:rFonts w:ascii="Times New Roman" w:hAnsi="Times New Roman" w:cs="Times New Roman" w:eastAsia="Times New Roman"/>
        </w:rPr>
        <w:t>Notar-Scan — Beurkundungssprache § 16 BeurkG</w:t>
      </w:r>
    </w:p>
    <w:p>
      <w:pPr>
        <w:spacing w:line="276" w:lineRule="auto"/>
        <w:jc w:val="both"/>
      </w:pPr>
      <w:r>
        <w:rPr>
          <w:rFonts w:ascii="Times New Roman" w:hAnsi="Times New Roman" w:cs="Times New Roman" w:eastAsia="Times New Roman"/>
          <w:sz w:val="22"/>
        </w:rPr>
        <w:t>Didaktisches Anschauungsmaterial — Series A Closing Project Comet Moth.</w:t>
      </w:r>
    </w:p>
    <w:p>
      <w:pPr>
        <w:keepNext/>
        <w:spacing w:before="160" w:after="80"/>
      </w:pPr>
      <w:r>
        <w:rPr>
          <w:b/>
          <w:sz w:val="26"/>
          <w:rFonts w:ascii="Times New Roman" w:hAnsi="Times New Roman" w:cs="Times New Roman" w:eastAsia="Times New Roman"/>
        </w:rPr>
        <w:t>1. Sachverhalt</w:t>
      </w:r>
    </w:p>
    <w:p>
      <w:pPr>
        <w:spacing w:line="276" w:lineRule="auto"/>
        <w:jc w:val="both"/>
      </w:pPr>
      <w:r>
        <w:rPr>
          <w:rFonts w:ascii="Times New Roman" w:hAnsi="Times New Roman" w:cs="Times New Roman" w:eastAsia="Times New Roman"/>
          <w:sz w:val="22"/>
        </w:rPr>
        <w:t>Series A SHA und Satzungsänderung der Kometenfalter Systems GmbH. Die englischsprachige Vertragsfassung des SHA liegt fertig verhandelt vor. Die Mandantenseite besteht darauf, dass die Satzung in deutscher Sprache beurkundet wird, während Investor Counsel auch für die Satzung eine englische Fassung präferiert.</w:t>
      </w:r>
    </w:p>
    <w:p>
      <w:pPr>
        <w:keepNext/>
        <w:spacing w:before="160" w:after="80"/>
      </w:pPr>
      <w:r>
        <w:rPr>
          <w:b/>
          <w:sz w:val="26"/>
          <w:rFonts w:ascii="Times New Roman" w:hAnsi="Times New Roman" w:cs="Times New Roman" w:eastAsia="Times New Roman"/>
        </w:rPr>
        <w:t>2. § 16 BeurkG kurz</w:t>
      </w:r>
    </w:p>
    <w:p>
      <w:pPr>
        <w:spacing w:line="276" w:lineRule="auto"/>
        <w:jc w:val="both"/>
      </w:pPr>
      <w:r>
        <w:rPr>
          <w:rFonts w:ascii="Times New Roman" w:hAnsi="Times New Roman" w:cs="Times New Roman" w:eastAsia="Times New Roman"/>
          <w:sz w:val="22"/>
        </w:rPr>
        <w:t>Die Beurkundung erfolgt grundsätzlich in deutscher Sprache. Eine fremdsprachige Niederschrift ist möglich, wenn der Notar und alle Beteiligten der Fremdsprache hinreichend mächtig sind (§ 5 BeurkG für die Niederschrift, § 16 BeurkG für die Übersetzungspflicht im Beurkundungsverfahren).</w:t>
      </w:r>
    </w:p>
    <w:p>
      <w:pPr>
        <w:keepNext/>
        <w:spacing w:before="160" w:after="80"/>
      </w:pPr>
      <w:r>
        <w:rPr>
          <w:b/>
          <w:sz w:val="26"/>
          <w:rFonts w:ascii="Times New Roman" w:hAnsi="Times New Roman" w:cs="Times New Roman" w:eastAsia="Times New Roman"/>
        </w:rPr>
        <w:t>3. Praxis</w:t>
      </w:r>
    </w:p>
    <w:p>
      <w:pPr>
        <w:spacing w:line="276" w:lineRule="auto"/>
        <w:jc w:val="both"/>
      </w:pPr>
      <w:r>
        <w:rPr>
          <w:rFonts w:ascii="Times New Roman" w:hAnsi="Times New Roman" w:cs="Times New Roman" w:eastAsia="Times New Roman"/>
          <w:sz w:val="22"/>
        </w:rPr>
        <w:t>Das SHA ist schuldrechtlich und damit grundsätzlich nicht beurkundungsbedürftig; es ist in englischer Sprache zulässig. Die Satzungsänderung einer GmbH muss dagegen nach § 53 GmbHG notariell beurkundet werden. Marktübliche Praxis ist eine deutsche Beurkundung der Satzung, ggf. mit einer englischen Übersetzung als Anlage. Die englische Übersetzung ist in diesem Fall nicht Beurkundungssprache, sondern Verständnishilfe.</w:t>
      </w:r>
    </w:p>
    <w:p>
      <w:pPr>
        <w:keepNext/>
        <w:spacing w:before="160" w:after="80"/>
      </w:pPr>
      <w:r>
        <w:rPr>
          <w:b/>
          <w:sz w:val="26"/>
          <w:rFonts w:ascii="Times New Roman" w:hAnsi="Times New Roman" w:cs="Times New Roman" w:eastAsia="Times New Roman"/>
        </w:rPr>
        <w:t>4. Call- und Drag-Mechanik</w:t>
      </w:r>
    </w:p>
    <w:p>
      <w:pPr>
        <w:spacing w:line="276" w:lineRule="auto"/>
        <w:jc w:val="both"/>
      </w:pPr>
      <w:r>
        <w:rPr>
          <w:rFonts w:ascii="Times New Roman" w:hAnsi="Times New Roman" w:cs="Times New Roman" w:eastAsia="Times New Roman"/>
          <w:sz w:val="22"/>
        </w:rPr>
        <w:t>Call-Optionen und Drag-Along-Verpflichtungen sind grundsätzlich schuldrechtliche Regelungen im SHA. Beurkundungsbedürftig werden sie nur, wenn gleichzeitig eine dingliche Übertragungsverpflichtung (§ 15 Abs. 4 GmbHG) begründet wird. In diesem Fall ist die Beurkundung der entsprechenden Vereinbarung notwendig — alternativ kann die Übertragungsverpflichtung in einer separaten beurkundeten Urkunde abgebildet werden.</w:t>
      </w:r>
    </w:p>
    <w:p>
      <w:pPr>
        <w:keepNext/>
        <w:spacing w:before="160" w:after="80"/>
      </w:pPr>
      <w:r>
        <w:rPr>
          <w:b/>
          <w:sz w:val="26"/>
          <w:rFonts w:ascii="Times New Roman" w:hAnsi="Times New Roman" w:cs="Times New Roman" w:eastAsia="Times New Roman"/>
        </w:rPr>
        <w:t>5. Einheitsdokument vs. mehrere Urkunden</w:t>
      </w:r>
    </w:p>
    <w:p>
      <w:pPr>
        <w:spacing w:line="276" w:lineRule="auto"/>
        <w:jc w:val="both"/>
      </w:pPr>
      <w:r>
        <w:rPr>
          <w:rFonts w:ascii="Times New Roman" w:hAnsi="Times New Roman" w:cs="Times New Roman" w:eastAsia="Times New Roman"/>
          <w:sz w:val="22"/>
        </w:rPr>
        <w:t>Die Trennung von Satzungsbeurkundung (Notar) und SHA (privatschriftlich) ist Standard. Die Cap-Table-Logik bleibt fachlich integriert über das gesamte Vertragswerk, ist aber rechtlich auf zwei getrennte Dokumentenebenen verteilt. Das verhindert, dass das gesamte SHA bei jeder Anpassung beurkundet werden müsste.</w:t>
      </w:r>
    </w:p>
    <w:p>
      <w:pPr>
        <w:keepNext/>
        <w:spacing w:before="160" w:after="80"/>
      </w:pPr>
      <w:r>
        <w:rPr>
          <w:b/>
          <w:sz w:val="26"/>
          <w:rFonts w:ascii="Times New Roman" w:hAnsi="Times New Roman" w:cs="Times New Roman" w:eastAsia="Times New Roman"/>
        </w:rPr>
        <w:t>6. Praxishinweis</w:t>
      </w:r>
    </w:p>
    <w:p>
      <w:pPr>
        <w:spacing w:line="276" w:lineRule="auto"/>
        <w:jc w:val="both"/>
      </w:pPr>
      <w:r>
        <w:rPr>
          <w:rFonts w:ascii="Times New Roman" w:hAnsi="Times New Roman" w:cs="Times New Roman" w:eastAsia="Times New Roman"/>
          <w:sz w:val="22"/>
        </w:rPr>
        <w:t>Englische Begriffe wie „Drag-Along", „Tag-Along", „Liquidation Preference" oder „Preferred Shares" müssen in der deutschen Satzung entweder ausdrücklich definiert oder durch deutsche Rechtsbegriffe ersetzt werden, um auslegungsfest zu sein. Eine bloße wörtliche Übersetzung („Vorzugsaktien") ist im GmbH-Recht falsch.</w:t>
      </w:r>
    </w:p>
    <w:p>
      <w:pPr>
        <w:spacing w:line="276" w:lineRule="auto"/>
        <w:jc w:val="both"/>
      </w:pPr>
      <w:r>
        <w:rPr>
          <w:rFonts w:ascii="Times New Roman" w:hAnsi="Times New Roman" w:cs="Times New Roman" w:eastAsia="Times New Roman"/>
          <w:sz w:val="22"/>
        </w:rPr>
        <w:t>Lehrmaterial, keine Rechtsberatung; vgl. §§ 5, 16 BeurkG; § 53 GmbHG; § 15 Abs. 4 GmbHG.</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Vertraulich — Lehrmaterial Didaktisches Gesellschaftsrecht</w:t>
          </w:r>
        </w:p>
      </w:tc>
      <w:tc>
        <w:tcPr>
          <w:tcW w:type="dxa" w:w="3175"/>
        </w:tcPr>
        <w:p>
          <w:pPr>
            <w:spacing w:after="0"/>
            <w:jc w:val="right"/>
          </w:pPr>
          <w:r>
            <w:rPr>
              <w:b w:val="0"/>
              <w:sz w:val="18"/>
              <w:rFonts w:ascii="Times New Roman" w:hAnsi="Times New Roman" w:cs="Times New Roman" w:eastAsia="Times New Roman"/>
            </w:rPr>
            <w:t xml:space="preserve">Seite </w:t>
          </w:r>
          <w:r>
            <w:rPr>
              <w:rFonts w:ascii="Times New Roman" w:hAnsi="Times New Roman" w:cs="Times New Roman" w:eastAsia="Times New Roman"/>
              <w:sz w:val="18"/>
            </w:rPr>
            <w:fldChar w:fldCharType="begin"/>
            <w:instrText xml:space="preserve">PAGE</w:instrText>
            <w:fldChar w:fldCharType="separate"/>
            <w:t>1</w:t>
            <w:fldChar w:fldCharType="end"/>
          </w:r>
          <w:r>
            <w:rPr>
              <w:b w:val="0"/>
              <w:sz w:val="18"/>
              <w:rFonts w:ascii="Times New Roman" w:hAnsi="Times New Roman" w:cs="Times New Roman" w:eastAsia="Times New Roman"/>
            </w:rPr>
            <w:t xml:space="preserve"> von </w:t>
          </w:r>
          <w:r>
            <w:rPr>
              <w:rFonts w:ascii="Times New Roman" w:hAnsi="Times New Roman" w:cs="Times New Roman" w:eastAsia="Times New Roman"/>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Kometenfalter Systems GmbH — Series A Project Comet Moth</w:t>
          </w:r>
        </w:p>
      </w:tc>
      <w:tc>
        <w:tcPr>
          <w:tcW w:type="dxa" w:w="3175"/>
        </w:tcPr>
        <w:p>
          <w:pPr>
            <w:spacing w:after="0"/>
            <w:jc w:val="right"/>
          </w:pPr>
          <w:r>
            <w:rPr>
              <w:b w:val="0"/>
              <w:sz w:val="18"/>
              <w:rFonts w:ascii="Times New Roman" w:hAnsi="Times New Roman" w:cs="Times New Roman" w:eastAsia="Times New Roman"/>
            </w:rPr>
            <w:t>19 — Notar-Scan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Notar-Scan — Beurkundungssprache § 16 BeurkG</dc:title>
  <dc:subject/>
  <dc:creator>Perplexity Computer</dc:creator>
  <cp:keywords/>
  <dc:description>Didaktisches Gesellschaftsrecht — English Business Terms</dc:description>
  <cp:lastModifiedBy/>
  <cp:revision>1</cp:revision>
  <dcterms:created xsi:type="dcterms:W3CDTF">2013-12-23T23:15:00Z</dcterms:created>
  <dcterms:modified xsi:type="dcterms:W3CDTF">2013-12-23T23:15:00Z</dcterms:modified>
  <cp:category>Didaktisches Gesellschaftsrecht — English Business Terms</cp:category>
</cp:coreProperties>
</file>