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36"/>
          <w:rFonts w:ascii="Times New Roman" w:hAnsi="Times New Roman" w:cs="Times New Roman" w:eastAsia="Times New Roman"/>
        </w:rPr>
        <w:t>Rookie Cheatsheet — Corporate Legal English ↔ Deutsches Werkzeug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Schnellreferenz für Junior-Associates: Auf jeder Zeile steht links der englische Vertragsbegriff aus dem Series-A-Term-Sheet, in der Mitte die deutsche Umsetzung im GmbH-Recht und rechts die typische Stolperfalle bei Übersetzung oder Mandatsbetreuung.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96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  <w:t>English Term</w:t>
            </w:r>
          </w:p>
        </w:tc>
        <w:tc>
          <w:tcPr>
            <w:tcW w:type="dxa" w:w="3447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  <w:t>Deutsches Werkzeug</w:t>
            </w:r>
          </w:p>
        </w:tc>
        <w:tc>
          <w:tcPr>
            <w:tcW w:type="dxa" w:w="3629"/>
            <w:shd w:val="clear" w:color="auto" w:fill="E8E8E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  <w:rFonts w:ascii="Times New Roman" w:hAnsi="Times New Roman" w:cs="Times New Roman" w:eastAsia="Times New Roman"/>
                <w:sz w:val="20"/>
              </w:rPr>
              <w:t>Stolperfalle</w:t>
            </w:r>
          </w:p>
        </w:tc>
      </w:tr>
      <w:tr>
        <w:tc>
          <w:tcPr>
            <w:tcW w:type="dxa" w:w="19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Cap Table</w:t>
            </w:r>
          </w:p>
        </w:tc>
        <w:tc>
          <w:tcPr>
            <w:tcW w:type="dxa" w:w="34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Kapitalisierungstabelle (NICHT Gesellschafterliste i. S. v. § 40 GmbHG)</w:t>
            </w:r>
          </w:p>
        </w:tc>
        <w:tc>
          <w:tcPr>
            <w:tcW w:type="dxa" w:w="362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Gesellschafterliste ist gesetzlich, Cap Table ist wirtschaftliches Modell</w:t>
            </w:r>
          </w:p>
        </w:tc>
      </w:tr>
      <w:tr>
        <w:tc>
          <w:tcPr>
            <w:tcW w:type="dxa" w:w="19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Preferred Shares</w:t>
            </w:r>
          </w:p>
        </w:tc>
        <w:tc>
          <w:tcPr>
            <w:tcW w:type="dxa" w:w="34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Geschäftsanteile mit Vorzugsrechten (Satzung + SHA)</w:t>
            </w:r>
          </w:p>
        </w:tc>
        <w:tc>
          <w:tcPr>
            <w:tcW w:type="dxa" w:w="362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Keine Scheinübersetzung „Vorzugsaktien" — die GmbH hat keine Aktien</w:t>
            </w:r>
          </w:p>
        </w:tc>
      </w:tr>
      <w:tr>
        <w:tc>
          <w:tcPr>
            <w:tcW w:type="dxa" w:w="19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Liquidation Preference</w:t>
            </w:r>
          </w:p>
        </w:tc>
        <w:tc>
          <w:tcPr>
            <w:tcW w:type="dxa" w:w="34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Vorzugsbetrag bei Exit-Erlösverteilung</w:t>
            </w:r>
          </w:p>
        </w:tc>
        <w:tc>
          <w:tcPr>
            <w:tcW w:type="dxa" w:w="362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NICHT Insolvenzvorzug; Mechanik nur bei Exit</w:t>
            </w:r>
          </w:p>
        </w:tc>
      </w:tr>
      <w:tr>
        <w:tc>
          <w:tcPr>
            <w:tcW w:type="dxa" w:w="19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Vesting</w:t>
            </w:r>
          </w:p>
        </w:tc>
        <w:tc>
          <w:tcPr>
            <w:tcW w:type="dxa" w:w="34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Reverse Vesting der Gründer-Geschäftsanteile (Bad/Good Leaver)</w:t>
            </w:r>
          </w:p>
        </w:tc>
        <w:tc>
          <w:tcPr>
            <w:tcW w:type="dxa" w:w="362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Klassisches Vesting (Erwerb) in Deutschland untypisch; Reverse Vesting ist Marktstandard</w:t>
            </w:r>
          </w:p>
        </w:tc>
      </w:tr>
      <w:tr>
        <w:tc>
          <w:tcPr>
            <w:tcW w:type="dxa" w:w="19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Drag-Along</w:t>
            </w:r>
          </w:p>
        </w:tc>
        <w:tc>
          <w:tcPr>
            <w:tcW w:type="dxa" w:w="34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Mitverkaufsverpflichtung der Minderheit</w:t>
            </w:r>
          </w:p>
        </w:tc>
        <w:tc>
          <w:tcPr>
            <w:tcW w:type="dxa" w:w="362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NICHT „Vorkaufsrecht"; ggf. Vollmacht und Beurkundungsbedarf prüfen</w:t>
            </w:r>
          </w:p>
        </w:tc>
      </w:tr>
      <w:tr>
        <w:tc>
          <w:tcPr>
            <w:tcW w:type="dxa" w:w="19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Tag-Along</w:t>
            </w:r>
          </w:p>
        </w:tc>
        <w:tc>
          <w:tcPr>
            <w:tcW w:type="dxa" w:w="34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Mitverkaufsrecht der Minderheit</w:t>
            </w:r>
          </w:p>
        </w:tc>
        <w:tc>
          <w:tcPr>
            <w:tcW w:type="dxa" w:w="362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Schuldrechtlich im SHA; Preisgleichheit beachten</w:t>
            </w:r>
          </w:p>
        </w:tc>
      </w:tr>
      <w:tr>
        <w:tc>
          <w:tcPr>
            <w:tcW w:type="dxa" w:w="19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Anti-Dilution</w:t>
            </w:r>
          </w:p>
        </w:tc>
        <w:tc>
          <w:tcPr>
            <w:tcW w:type="dxa" w:w="34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Verwässerungsschutz durch Anpassung Wandlungsverhältnis</w:t>
            </w:r>
          </w:p>
        </w:tc>
        <w:tc>
          <w:tcPr>
            <w:tcW w:type="dxa" w:w="362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„Broad-based weighted average" ≠ „full ratchet" — wirtschaftlich anders</w:t>
            </w:r>
          </w:p>
        </w:tc>
      </w:tr>
      <w:tr>
        <w:tc>
          <w:tcPr>
            <w:tcW w:type="dxa" w:w="199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Consent Matters</w:t>
            </w:r>
          </w:p>
        </w:tc>
        <w:tc>
          <w:tcPr>
            <w:tcW w:type="dxa" w:w="344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Zustimmungsvorbehalte (Beirat / Gesellschafterversammlung / GF-Geschäftsordnung)</w:t>
            </w:r>
          </w:p>
        </w:tc>
        <w:tc>
          <w:tcPr>
            <w:tcW w:type="dxa" w:w="362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20"/>
              </w:rPr>
            </w:r>
            <w:r>
              <w:rPr>
                <w:rFonts w:ascii="Times New Roman" w:hAnsi="Times New Roman" w:cs="Times New Roman" w:eastAsia="Times New Roman"/>
                <w:sz w:val="20"/>
              </w:rPr>
              <w:t>Drei Ebenen sauber trennen; nicht alle als „Investor Director Approval" abbilden</w:t>
            </w:r>
          </w:p>
        </w:tc>
      </w:tr>
    </w:tbl>
    <w:p>
      <w:pPr>
        <w:keepNext/>
        <w:spacing w:before="160" w:after="80"/>
      </w:pPr>
      <w:r>
        <w:rPr>
          <w:b/>
          <w:sz w:val="26"/>
          <w:rFonts w:ascii="Times New Roman" w:hAnsi="Times New Roman" w:cs="Times New Roman" w:eastAsia="Times New Roman"/>
        </w:rPr>
        <w:t>1. Stolperfallen für Einsteiger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1. </w:t>
      </w:r>
      <w:r>
        <w:rPr>
          <w:rFonts w:ascii="Times New Roman" w:hAnsi="Times New Roman" w:cs="Times New Roman" w:eastAsia="Times New Roman"/>
          <w:sz w:val="22"/>
        </w:rPr>
        <w:t>„Cap Table = Gesellschafterliste" ist falsch — sauber trennen.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2. </w:t>
      </w:r>
      <w:r>
        <w:rPr>
          <w:rFonts w:ascii="Times New Roman" w:hAnsi="Times New Roman" w:cs="Times New Roman" w:eastAsia="Times New Roman"/>
          <w:sz w:val="22"/>
        </w:rPr>
        <w:t>„Preferred Shares" wörtlich als „Vorzugsaktien" übersetzen — die GmbH kennt keine Aktien.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3. </w:t>
      </w:r>
      <w:r>
        <w:rPr>
          <w:rFonts w:ascii="Times New Roman" w:hAnsi="Times New Roman" w:cs="Times New Roman" w:eastAsia="Times New Roman"/>
          <w:sz w:val="22"/>
        </w:rPr>
        <w:t>„Investor Director" als GmbH-Geschäftsführer behandeln — es ist Beirat-/Consent-Mechanik.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4. </w:t>
      </w:r>
      <w:r>
        <w:rPr>
          <w:rFonts w:ascii="Times New Roman" w:hAnsi="Times New Roman" w:cs="Times New Roman" w:eastAsia="Times New Roman"/>
          <w:sz w:val="22"/>
        </w:rPr>
        <w:t>„Liquidation Preference" mit Insolvenzvorrang verwechseln — sie greift nur im Exit-Waterfall.</w:t>
      </w:r>
    </w:p>
    <w:p>
      <w:pPr>
        <w:spacing w:line="276" w:lineRule="auto"/>
        <w:ind w:left="340" w:hanging="340"/>
        <w:jc w:val="both"/>
      </w:pPr>
      <w:r>
        <w:rPr>
          <w:rFonts w:ascii="Times New Roman" w:hAnsi="Times New Roman" w:cs="Times New Roman" w:eastAsia="Times New Roman"/>
          <w:sz w:val="22"/>
        </w:rPr>
        <w:t xml:space="preserve">5. </w:t>
      </w:r>
      <w:r>
        <w:rPr>
          <w:rFonts w:ascii="Times New Roman" w:hAnsi="Times New Roman" w:cs="Times New Roman" w:eastAsia="Times New Roman"/>
          <w:sz w:val="22"/>
        </w:rPr>
        <w:t>Drag-Along als bloßes Vorkaufsrecht behandeln — es ist Mitverkaufspflicht, ggf. mit Beurkundungsfolge.</w:t>
      </w:r>
    </w:p>
    <w:p>
      <w:pPr>
        <w:spacing w:line="276" w:lineRule="auto"/>
        <w:jc w:val="both"/>
      </w:pPr>
      <w:r>
        <w:rPr>
          <w:rFonts w:ascii="Times New Roman" w:hAnsi="Times New Roman" w:cs="Times New Roman" w:eastAsia="Times New Roman"/>
          <w:sz w:val="22"/>
        </w:rPr>
        <w:t>Lehrmaterial — Didaktisches Gesellschaftsrecht, English Business Terms.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896"/>
      <w:gridCol w:w="3175"/>
    </w:tblGrid>
    <w:tr>
      <w:tc>
        <w:tcPr>
          <w:tcW w:type="dxa" w:w="5897"/>
        </w:tcPr>
        <w:p>
          <w:pPr>
            <w:spacing w:after="0"/>
          </w:pPr>
          <w:r>
            <w:rPr>
              <w:b w:val="0"/>
              <w:sz w:val="18"/>
              <w:rFonts w:ascii="Times New Roman" w:hAnsi="Times New Roman" w:cs="Times New Roman" w:eastAsia="Times New Roman"/>
            </w:rPr>
            <w:t>Vertraulich — Lehrmaterial Didaktisches Gesellschaftsrecht</w:t>
          </w:r>
        </w:p>
      </w:tc>
      <w:tc>
        <w:tcPr>
          <w:tcW w:type="dxa" w:w="3175"/>
        </w:tcPr>
        <w:p>
          <w:pPr>
            <w:spacing w:after="0"/>
            <w:jc w:val="right"/>
          </w:pPr>
          <w:r>
            <w:rPr>
              <w:b w:val="0"/>
              <w:sz w:val="18"/>
              <w:rFonts w:ascii="Times New Roman" w:hAnsi="Times New Roman" w:cs="Times New Roman" w:eastAsia="Times New Roman"/>
            </w:rPr>
            <w:t xml:space="preserve">Seite </w:t>
          </w:r>
          <w:r>
            <w:rPr>
              <w:rFonts w:ascii="Times New Roman" w:hAnsi="Times New Roman" w:cs="Times New Roman" w:eastAsia="Times New Roman"/>
              <w:sz w:val="18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b w:val="0"/>
              <w:sz w:val="18"/>
              <w:rFonts w:ascii="Times New Roman" w:hAnsi="Times New Roman" w:cs="Times New Roman" w:eastAsia="Times New Roman"/>
            </w:rPr>
            <w:t xml:space="preserve"> von </w:t>
          </w:r>
          <w:r>
            <w:rPr>
              <w:rFonts w:ascii="Times New Roman" w:hAnsi="Times New Roman" w:cs="Times New Roman" w:eastAsia="Times New Roman"/>
              <w:sz w:val="18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896"/>
      <w:gridCol w:w="3175"/>
    </w:tblGrid>
    <w:tr>
      <w:tc>
        <w:tcPr>
          <w:tcW w:type="dxa" w:w="5897"/>
        </w:tcPr>
        <w:p>
          <w:pPr>
            <w:spacing w:after="0"/>
          </w:pPr>
          <w:r>
            <w:rPr>
              <w:b w:val="0"/>
              <w:sz w:val="18"/>
              <w:rFonts w:ascii="Times New Roman" w:hAnsi="Times New Roman" w:cs="Times New Roman" w:eastAsia="Times New Roman"/>
            </w:rPr>
            <w:t>Kometenfalter Systems GmbH — Series A Project Comet Moth</w:t>
          </w:r>
        </w:p>
      </w:tc>
      <w:tc>
        <w:tcPr>
          <w:tcW w:type="dxa" w:w="3175"/>
        </w:tcPr>
        <w:p>
          <w:pPr>
            <w:spacing w:after="0"/>
            <w:jc w:val="right"/>
          </w:pPr>
          <w:r>
            <w:rPr>
              <w:b w:val="0"/>
              <w:sz w:val="18"/>
              <w:rFonts w:ascii="Times New Roman" w:hAnsi="Times New Roman" w:cs="Times New Roman" w:eastAsia="Times New Roman"/>
            </w:rPr>
            <w:t>23 — Rookie Cheatsheet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Rookie Cheatsheet — Corporate Legal English ↔ Deutsches Werkzeug</dc:title>
  <dc:subject/>
  <dc:creator>Perplexity Computer</dc:creator>
  <cp:keywords/>
  <dc:description>Didaktisches Gesellschaftsrecht — English Business Terms</dc:description>
  <cp:lastModifiedBy/>
  <cp:revision>1</cp:revision>
  <dcterms:created xsi:type="dcterms:W3CDTF">2013-12-23T23:15:00Z</dcterms:created>
  <dcterms:modified xsi:type="dcterms:W3CDTF">2013-12-23T23:15:00Z</dcterms:modified>
  <cp:category>Didaktisches Gesellschaftsrecht — English Business Terms</cp:category>
</cp:coreProperties>
</file>