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sz w:val="36"/>
          <w:rFonts w:ascii="Times New Roman" w:hAnsi="Times New Roman" w:cs="Times New Roman" w:eastAsia="Times New Roman"/>
        </w:rPr>
        <w:t>Testakte: Frankfurt Startup Round — Corporate Legal English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Fiktive Schulungsakte für das Plugin </w:t>
      </w:r>
      <w:r>
        <w:rPr>
          <w:rFonts w:ascii="Courier New" w:hAnsi="Courier New" w:cs="Courier New" w:eastAsia="Courier New"/>
          <w:sz w:val="22"/>
        </w:rPr>
        <w:t>gesellschaftsrecht-legal-english</w:t>
      </w:r>
      <w:r>
        <w:rPr>
          <w:rFonts w:ascii="Times New Roman" w:hAnsi="Times New Roman" w:cs="Times New Roman" w:eastAsia="Times New Roman"/>
          <w:sz w:val="22"/>
        </w:rPr>
        <w:t>. Ziel: Big-Law-Nachwuchs (1st-/2nd-Year-Associates) in einer Corporate-Praxis lehrt zu lernen, wie eine deutsche GmbH eine Series-A-Finanzierung mit englischsprachigem Term Sheet und deutscher Notar-/Registerlogik durchführt. Aehnlichkeiten zu realen Transaktionen sind nicht beabsichtigt.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Die Akte simuliert einen hektischen Donnerstag in einer internationalen Corporate-Praxis in Frankfurt am Main. Die Partnerin Adelheid von Westarp übergibt einem Associate eine angefangene Mandatsbearbeitung mit Cap Table, fully diluted, Anti-Dilution, Vesting, Drag/Tag, Liquidation Preference, Consent Matters und einer Reihe deutscher Umsetzungsfragen. Die Akte enthält absichtlich Stolperfallen und Anfängerfehler. Seit dem v34-Ausbau enthält sie auch Multi-Format-Unterlagen: Excel, PDF-Scan, PDF-Cheatsheet, JPEG-Foto, Email-Screenshot und WhatsApp-Screenshot.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1. Dateien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Datei</w:t>
            </w:r>
          </w:p>
        </w:tc>
        <w:tc>
          <w:tcPr>
            <w:tcW w:type="dxa" w:w="4536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Inhalt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Courier New" w:hAnsi="Courier New" w:cs="Courier New" w:eastAsia="Courier New"/>
                <w:sz w:val="20"/>
              </w:rPr>
              <w:t>00-deal-personen-und-zeitleiste.md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Cast, Zeitleiste 14.02.2022 bis 15.09.2026, fiktive Eckdaten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Courier New" w:hAnsi="Courier New" w:cs="Courier New" w:eastAsia="Courier New"/>
                <w:sz w:val="20"/>
              </w:rPr>
              <w:t>01-partnerauftrag-email.md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Partnerauftrag mit knapper, jargonreicher Aufgabenbeschreibung, zweite Email und Slack-Thread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Courier New" w:hAnsi="Courier New" w:cs="Courier New" w:eastAsia="Courier New"/>
                <w:sz w:val="20"/>
              </w:rPr>
              <w:t>02-cap-table-und-gesellschafterliste.md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Cap Table V19a (current) und Projektion V19b/V19c (Pool pre-/post-money) plus Berechnungsskizzen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Courier New" w:hAnsi="Courier New" w:cs="Courier New" w:eastAsia="Courier New"/>
                <w:sz w:val="20"/>
              </w:rPr>
              <w:t>03-term-sheet-auszug.md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Englischer Term Sheet Auszug mit ausführlichem Definitions-Set und vielen Klauseln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Courier New" w:hAnsi="Courier New" w:cs="Courier New" w:eastAsia="Courier New"/>
                <w:sz w:val="20"/>
              </w:rPr>
              <w:t>04-sha-satzung-und-vesting-notizen.md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Synopse Seed-SHA / Satzung / Series-A-Term-Sheet mit CFO-Kommentaren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Courier New" w:hAnsi="Courier New" w:cs="Courier New" w:eastAsia="Courier New"/>
                <w:sz w:val="20"/>
              </w:rPr>
              <w:t>05-dd-red-flags-und-client-fragen.md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Datenraum-Index, DD-Funde Corporate/IP/Employment/Commercial/Tax und Mandantenfragen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Courier New" w:hAnsi="Courier New" w:cs="Courier New" w:eastAsia="Courier New"/>
                <w:sz w:val="20"/>
              </w:rPr>
              <w:t>06-associate-arbeitsstand.md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Unfertige Associate-Notiz mit rotem Stift der Partnerin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Courier New" w:hAnsi="Courier New" w:cs="Courier New" w:eastAsia="Courier New"/>
                <w:sz w:val="20"/>
              </w:rPr>
              <w:t>07-erwarteter-output-ohne-musterlösung.md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Prüfraster für Bearbeiter, ohne Musterlösung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Courier New" w:hAnsi="Courier New" w:cs="Courier New" w:eastAsia="Courier New"/>
                <w:sz w:val="20"/>
              </w:rPr>
              <w:t>08-glossar-deutsch-englisch-fallstricke.md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Begriffsglossar mit typischen Missverständnissen Deutsch/Englisch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Courier New" w:hAnsi="Courier New" w:cs="Courier New" w:eastAsia="Courier New"/>
                <w:sz w:val="20"/>
              </w:rPr>
              <w:t>09-anfängerfehler-katalog-mit-partner-rotstift.md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Anfängerfehler-Katalog mit Kommentaren der Partnerin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Courier New" w:hAnsi="Courier New" w:cs="Courier New" w:eastAsia="Courier New"/>
                <w:sz w:val="20"/>
              </w:rPr>
              <w:t>10-wandeldarlehen-tante-ermelind.md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Vollständiger Convertible Loan Agreement plus Associate-Vermerk und Wandlungsrechnung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Courier New" w:hAnsi="Courier New" w:cs="Courier New" w:eastAsia="Courier New"/>
                <w:sz w:val="20"/>
              </w:rPr>
              <w:t>11-investor-counsel-markup-roundtrip.md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Markup-Email der Gegenseite, interne Sortierung und 2:14-Uhr-Antwort des Associates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Courier New" w:hAnsi="Courier New" w:cs="Courier New" w:eastAsia="Courier New"/>
                <w:sz w:val="20"/>
              </w:rPr>
              <w:t>12-notar-checkliste-und-handelsregisterlogik.md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Notarverfahren, Sprachfragen § 5 BeurkG, Einheitsdoktrin, Handelsregister, Fristen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Courier New" w:hAnsi="Courier New" w:cs="Courier New" w:eastAsia="Courier New"/>
                <w:sz w:val="20"/>
              </w:rPr>
              <w:t>13-side-letter-und-information-rights.md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Seed-Side-Letter, Series-A-Side-Letter und Konsistenz-Stack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Courier New" w:hAnsi="Courier New" w:cs="Courier New" w:eastAsia="Courier New"/>
                <w:sz w:val="20"/>
              </w:rPr>
              <w:t>14-board-und-consent-matters-mapping-de-en.md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Reserved-Matters-Mapping englisch zu deutsch (Beirat, Geschäftsordnung, Gesellschafterversammlung)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Courier New" w:hAnsi="Courier New" w:cs="Courier New" w:eastAsia="Courier New"/>
                <w:sz w:val="20"/>
              </w:rPr>
              <w:t>15-closing-checkliste-cp.md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Closing-Checkliste mit 30 CPs, Term-Sheet-Gap-Analyse und Post-Closing-Punkten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Courier New" w:hAnsi="Courier New" w:cs="Courier New" w:eastAsia="Courier New"/>
                <w:sz w:val="20"/>
              </w:rPr>
              <w:t>16-whatsapp-partner-associate-thread.md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Fiktiver Chat-Thread mit Arbeitsanweisungen zu fully diluted, Pool, Investor Director, Drag-Along und Senior-Gates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Courier New" w:hAnsi="Courier New" w:cs="Courier New" w:eastAsia="Courier New"/>
                <w:sz w:val="20"/>
              </w:rPr>
              <w:t>17-anschauungsmaterial-und-formate-index.md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Index für Excel, PDF, Scan, Foto, Screenshot und Chat-Unterlagen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Courier New" w:hAnsi="Courier New" w:cs="Courier New" w:eastAsia="Courier New"/>
                <w:sz w:val="20"/>
              </w:rPr>
              <w:t>18-cap-table-waterfall-training.xlsx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Excel-Trainingsmodell mit Cap Table, Pool-Szenarien, Convertible, Waterfall und Rookie-Quiz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Courier New" w:hAnsi="Courier New" w:cs="Courier New" w:eastAsia="Courier New"/>
                <w:sz w:val="20"/>
              </w:rPr>
              <w:t>19-notar-scan-beurkundungssprache.pdf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PDF-Scan einer internen Notar-/Beurkundungssprache-Notiz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Courier New" w:hAnsi="Courier New" w:cs="Courier New" w:eastAsia="Courier New"/>
                <w:sz w:val="20"/>
              </w:rPr>
              <w:t>20-whiteboard-foto-deal-map.jpg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Whiteboard-Foto mit Deal Map und Rookie-Regel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Courier New" w:hAnsi="Courier New" w:cs="Courier New" w:eastAsia="Courier New"/>
                <w:sz w:val="20"/>
              </w:rPr>
              <w:t>21-investor-email-screenshot.jpg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Email-Screenshot der Gegenseite zu fully diluted, Pool und Investor Director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Courier New" w:hAnsi="Courier New" w:cs="Courier New" w:eastAsia="Courier New"/>
                <w:sz w:val="20"/>
              </w:rPr>
              <w:t>22-whatsapp-screenshot.jpg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WhatsApp-Screenshot mit informeller Deal-Team-Abstimmung</w:t>
            </w:r>
          </w:p>
        </w:tc>
      </w:tr>
      <w:tr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Courier New" w:hAnsi="Courier New" w:cs="Courier New" w:eastAsia="Courier New"/>
                <w:sz w:val="20"/>
              </w:rPr>
              <w:t>23-rookie-cheatsheet-corporate-legal-english.pdf</w:t>
            </w:r>
          </w:p>
        </w:tc>
        <w:tc>
          <w:tcPr>
            <w:tcW w:type="dxa" w:w="45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Einseitiges Rookie-Cheatsheet mit Begriffskarten und Senior-Gate</w:t>
            </w:r>
          </w:p>
        </w:tc>
      </w:tr>
    </w:tbl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2. Lernpfade</w:t>
      </w:r>
    </w:p>
    <w:p>
      <w:pPr>
        <w:keepNext/>
        <w:spacing w:before="120" w:after="60"/>
      </w:pPr>
      <w:r>
        <w:rPr>
          <w:b/>
          <w:sz w:val="22"/>
          <w:rFonts w:ascii="Times New Roman" w:hAnsi="Times New Roman" w:cs="Times New Roman" w:eastAsia="Times New Roman"/>
        </w:rPr>
        <w:t>(a) Pfad A — Begriffsdisziplin (Erstlesung, 2 Stunden)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1. </w:t>
      </w:r>
      <w:r>
        <w:rPr>
          <w:rFonts w:ascii="Times New Roman" w:hAnsi="Times New Roman" w:cs="Times New Roman" w:eastAsia="Times New Roman"/>
          <w:sz w:val="22"/>
        </w:rPr>
        <w:t>README (diese Datei).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2. </w:t>
      </w:r>
      <w:r>
        <w:rPr>
          <w:rFonts w:ascii="Courier New" w:hAnsi="Courier New" w:cs="Courier New" w:eastAsia="Courier New"/>
          <w:sz w:val="22"/>
        </w:rPr>
        <w:t>08-glossar-deutsch-englisch-fallstricke.md</w:t>
      </w:r>
      <w:r>
        <w:rPr>
          <w:rFonts w:ascii="Times New Roman" w:hAnsi="Times New Roman" w:cs="Times New Roman" w:eastAsia="Times New Roman"/>
          <w:sz w:val="22"/>
        </w:rPr>
        <w:t xml:space="preserve"> zuerst — die zwölf Begriffspaare entscheiden über Verständnis aller anderen Dateien.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3. </w:t>
      </w:r>
      <w:r>
        <w:rPr>
          <w:rFonts w:ascii="Courier New" w:hAnsi="Courier New" w:cs="Courier New" w:eastAsia="Courier New"/>
          <w:sz w:val="22"/>
        </w:rPr>
        <w:t>09-anfängerfehler-katalog-mit-partner-rotstift.md</w:t>
      </w:r>
      <w:r>
        <w:rPr>
          <w:rFonts w:ascii="Times New Roman" w:hAnsi="Times New Roman" w:cs="Times New Roman" w:eastAsia="Times New Roman"/>
          <w:sz w:val="22"/>
        </w:rPr>
        <w:t xml:space="preserve"> als Inokulation gegen die fünf Fehlerklassen A bis E.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4. </w:t>
      </w:r>
      <w:r>
        <w:rPr>
          <w:rFonts w:ascii="Courier New" w:hAnsi="Courier New" w:cs="Courier New" w:eastAsia="Courier New"/>
          <w:sz w:val="22"/>
        </w:rPr>
        <w:t>00-deal-personen-und-zeitleiste.md</w:t>
      </w:r>
      <w:r>
        <w:rPr>
          <w:rFonts w:ascii="Times New Roman" w:hAnsi="Times New Roman" w:cs="Times New Roman" w:eastAsia="Times New Roman"/>
          <w:sz w:val="22"/>
        </w:rPr>
        <w:t xml:space="preserve"> als Orientierung.</w:t>
      </w:r>
    </w:p>
    <w:p>
      <w:pPr>
        <w:keepNext/>
        <w:spacing w:before="120" w:after="60"/>
      </w:pPr>
      <w:r>
        <w:rPr>
          <w:b/>
          <w:sz w:val="22"/>
          <w:rFonts w:ascii="Times New Roman" w:hAnsi="Times New Roman" w:cs="Times New Roman" w:eastAsia="Times New Roman"/>
        </w:rPr>
        <w:t>(b) Pfad B — Mandatsanalyse (Hauptlesung, 4 Stunden)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1. </w:t>
      </w:r>
      <w:r>
        <w:rPr>
          <w:rFonts w:ascii="Courier New" w:hAnsi="Courier New" w:cs="Courier New" w:eastAsia="Courier New"/>
          <w:sz w:val="22"/>
        </w:rPr>
        <w:t>01-partnerauftrag-email.md</w:t>
      </w:r>
      <w:r>
        <w:rPr>
          <w:rFonts w:ascii="Times New Roman" w:hAnsi="Times New Roman" w:cs="Times New Roman" w:eastAsia="Times New Roman"/>
          <w:sz w:val="22"/>
        </w:rPr>
        <w:t xml:space="preserve"> — was will Adelheid?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2. </w:t>
      </w:r>
      <w:r>
        <w:rPr>
          <w:rFonts w:ascii="Courier New" w:hAnsi="Courier New" w:cs="Courier New" w:eastAsia="Courier New"/>
          <w:sz w:val="22"/>
        </w:rPr>
        <w:t>02-cap-table-und-gesellschafterliste.md</w:t>
      </w:r>
      <w:r>
        <w:rPr>
          <w:rFonts w:ascii="Times New Roman" w:hAnsi="Times New Roman" w:cs="Times New Roman" w:eastAsia="Times New Roman"/>
          <w:sz w:val="22"/>
        </w:rPr>
        <w:t xml:space="preserve"> — drei Szenarien nachrechnen.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3. </w:t>
      </w:r>
      <w:r>
        <w:rPr>
          <w:rFonts w:ascii="Courier New" w:hAnsi="Courier New" w:cs="Courier New" w:eastAsia="Courier New"/>
          <w:sz w:val="22"/>
        </w:rPr>
        <w:t>03-term-sheet-auszug.md</w:t>
      </w:r>
      <w:r>
        <w:rPr>
          <w:rFonts w:ascii="Times New Roman" w:hAnsi="Times New Roman" w:cs="Times New Roman" w:eastAsia="Times New Roman"/>
          <w:sz w:val="22"/>
        </w:rPr>
        <w:t xml:space="preserve"> — alle 14 Sektionen lesen und mit Datei 04 abgleichen.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4. </w:t>
      </w:r>
      <w:r>
        <w:rPr>
          <w:rFonts w:ascii="Courier New" w:hAnsi="Courier New" w:cs="Courier New" w:eastAsia="Courier New"/>
          <w:sz w:val="22"/>
        </w:rPr>
        <w:t>04-sha-satzung-und-vesting-notizen.md</w:t>
      </w:r>
      <w:r>
        <w:rPr>
          <w:rFonts w:ascii="Times New Roman" w:hAnsi="Times New Roman" w:cs="Times New Roman" w:eastAsia="Times New Roman"/>
          <w:sz w:val="22"/>
        </w:rPr>
        <w:t xml:space="preserve"> — Synopse Seed-SHA / Satzung / Term Sheet.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5. </w:t>
      </w:r>
      <w:r>
        <w:rPr>
          <w:rFonts w:ascii="Courier New" w:hAnsi="Courier New" w:cs="Courier New" w:eastAsia="Courier New"/>
          <w:sz w:val="22"/>
        </w:rPr>
        <w:t>05-dd-red-flags-und-client-fragen.md</w:t>
      </w:r>
      <w:r>
        <w:rPr>
          <w:rFonts w:ascii="Times New Roman" w:hAnsi="Times New Roman" w:cs="Times New Roman" w:eastAsia="Times New Roman"/>
          <w:sz w:val="22"/>
        </w:rPr>
        <w:t xml:space="preserve"> — Datenraum-Befunde und Mandantenfragen.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6. </w:t>
      </w:r>
      <w:r>
        <w:rPr>
          <w:rFonts w:ascii="Courier New" w:hAnsi="Courier New" w:cs="Courier New" w:eastAsia="Courier New"/>
          <w:sz w:val="22"/>
        </w:rPr>
        <w:t>06-associate-arbeitsstand.md</w:t>
      </w:r>
      <w:r>
        <w:rPr>
          <w:rFonts w:ascii="Times New Roman" w:hAnsi="Times New Roman" w:cs="Times New Roman" w:eastAsia="Times New Roman"/>
          <w:sz w:val="22"/>
        </w:rPr>
        <w:t xml:space="preserve"> — Associate-Stand mit Rotstift.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7. </w:t>
      </w:r>
      <w:r>
        <w:rPr>
          <w:rFonts w:ascii="Courier New" w:hAnsi="Courier New" w:cs="Courier New" w:eastAsia="Courier New"/>
          <w:sz w:val="22"/>
        </w:rPr>
        <w:t>07-erwarteter-output-ohne-musterlösung.md</w:t>
      </w:r>
      <w:r>
        <w:rPr>
          <w:rFonts w:ascii="Times New Roman" w:hAnsi="Times New Roman" w:cs="Times New Roman" w:eastAsia="Times New Roman"/>
          <w:sz w:val="22"/>
        </w:rPr>
        <w:t xml:space="preserve"> — Prüfraster.</w:t>
      </w:r>
    </w:p>
    <w:p>
      <w:pPr>
        <w:keepNext/>
        <w:spacing w:before="120" w:after="60"/>
      </w:pPr>
      <w:r>
        <w:rPr>
          <w:b/>
          <w:sz w:val="22"/>
          <w:rFonts w:ascii="Times New Roman" w:hAnsi="Times New Roman" w:cs="Times New Roman" w:eastAsia="Times New Roman"/>
        </w:rPr>
        <w:t>(c) Pfad C — Vertiefung (4 bis 6 Stunden)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1. </w:t>
      </w:r>
      <w:r>
        <w:rPr>
          <w:rFonts w:ascii="Courier New" w:hAnsi="Courier New" w:cs="Courier New" w:eastAsia="Courier New"/>
          <w:sz w:val="22"/>
        </w:rPr>
        <w:t>10-wandeldarlehen-tante-ermelind.md</w:t>
      </w:r>
      <w:r>
        <w:rPr>
          <w:rFonts w:ascii="Times New Roman" w:hAnsi="Times New Roman" w:cs="Times New Roman" w:eastAsia="Times New Roman"/>
          <w:sz w:val="22"/>
        </w:rPr>
        <w:t xml:space="preserve"> — Wandeldarlehen mit Discount und Cap, Beurkundungsbedarf bei Wandlung.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2. </w:t>
      </w:r>
      <w:r>
        <w:rPr>
          <w:rFonts w:ascii="Courier New" w:hAnsi="Courier New" w:cs="Courier New" w:eastAsia="Courier New"/>
          <w:sz w:val="22"/>
        </w:rPr>
        <w:t>11-investor-counsel-markup-roundtrip.md</w:t>
      </w:r>
      <w:r>
        <w:rPr>
          <w:rFonts w:ascii="Times New Roman" w:hAnsi="Times New Roman" w:cs="Times New Roman" w:eastAsia="Times New Roman"/>
          <w:sz w:val="22"/>
        </w:rPr>
        <w:t xml:space="preserve"> — typische Markup-Roundtrip-Dynamik.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3. </w:t>
      </w:r>
      <w:r>
        <w:rPr>
          <w:rFonts w:ascii="Courier New" w:hAnsi="Courier New" w:cs="Courier New" w:eastAsia="Courier New"/>
          <w:sz w:val="22"/>
        </w:rPr>
        <w:t>12-notar-checkliste-und-handelsregisterlogik.md</w:t>
      </w:r>
      <w:r>
        <w:rPr>
          <w:rFonts w:ascii="Times New Roman" w:hAnsi="Times New Roman" w:cs="Times New Roman" w:eastAsia="Times New Roman"/>
          <w:sz w:val="22"/>
        </w:rPr>
        <w:t xml:space="preserve"> — § 5 BeurkG, § 15 GmbHG, Einheitsdoktrin, § 40 GmbHG.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4. </w:t>
      </w:r>
      <w:r>
        <w:rPr>
          <w:rFonts w:ascii="Courier New" w:hAnsi="Courier New" w:cs="Courier New" w:eastAsia="Courier New"/>
          <w:sz w:val="22"/>
        </w:rPr>
        <w:t>13-side-letter-und-information-rights.md</w:t>
      </w:r>
      <w:r>
        <w:rPr>
          <w:rFonts w:ascii="Times New Roman" w:hAnsi="Times New Roman" w:cs="Times New Roman" w:eastAsia="Times New Roman"/>
          <w:sz w:val="22"/>
        </w:rPr>
        <w:t xml:space="preserve"> — MFN, Pro-Rata, Anti-Embarrassment, Most Favoured Investor.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5. </w:t>
      </w:r>
      <w:r>
        <w:rPr>
          <w:rFonts w:ascii="Courier New" w:hAnsi="Courier New" w:cs="Courier New" w:eastAsia="Courier New"/>
          <w:sz w:val="22"/>
        </w:rPr>
        <w:t>14-board-und-consent-matters-mapping-de-en.md</w:t>
      </w:r>
      <w:r>
        <w:rPr>
          <w:rFonts w:ascii="Times New Roman" w:hAnsi="Times New Roman" w:cs="Times New Roman" w:eastAsia="Times New Roman"/>
          <w:sz w:val="22"/>
        </w:rPr>
        <w:t xml:space="preserve"> — Reserved-Matters in Beirat, GF-Geschäftsordnung, Gesellschafterversammlung übersetzen.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6. </w:t>
      </w:r>
      <w:r>
        <w:rPr>
          <w:rFonts w:ascii="Courier New" w:hAnsi="Courier New" w:cs="Courier New" w:eastAsia="Courier New"/>
          <w:sz w:val="22"/>
        </w:rPr>
        <w:t>15-closing-checkliste-cp.md</w:t>
      </w:r>
      <w:r>
        <w:rPr>
          <w:rFonts w:ascii="Times New Roman" w:hAnsi="Times New Roman" w:cs="Times New Roman" w:eastAsia="Times New Roman"/>
          <w:sz w:val="22"/>
        </w:rPr>
        <w:t xml:space="preserve"> — die 30 CPs durchgehen.</w:t>
      </w:r>
    </w:p>
    <w:p>
      <w:pPr>
        <w:keepNext/>
        <w:spacing w:before="120" w:after="60"/>
      </w:pPr>
      <w:r>
        <w:rPr>
          <w:b/>
          <w:sz w:val="22"/>
          <w:rFonts w:ascii="Times New Roman" w:hAnsi="Times New Roman" w:cs="Times New Roman" w:eastAsia="Times New Roman"/>
        </w:rPr>
        <w:t>(d) Pfad D — Mandantenkommunikation (1 bis 2 Stunden)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1. </w:t>
      </w:r>
      <w:r>
        <w:rPr>
          <w:rFonts w:ascii="Courier New" w:hAnsi="Courier New" w:cs="Courier New" w:eastAsia="Courier New"/>
          <w:sz w:val="22"/>
        </w:rPr>
        <w:t>05-dd-red-flags-und-client-fragen.md</w:t>
      </w:r>
      <w:r>
        <w:rPr>
          <w:rFonts w:ascii="Times New Roman" w:hAnsi="Times New Roman" w:cs="Times New Roman" w:eastAsia="Times New Roman"/>
          <w:sz w:val="22"/>
        </w:rPr>
        <w:t xml:space="preserve"> Abschnitt J — Mandantenfragen.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2. </w:t>
      </w:r>
      <w:r>
        <w:rPr>
          <w:rFonts w:ascii="Courier New" w:hAnsi="Courier New" w:cs="Courier New" w:eastAsia="Courier New"/>
          <w:sz w:val="22"/>
        </w:rPr>
        <w:t>07-erwarteter-output-ohne-musterlösung.md</w:t>
      </w:r>
      <w:r>
        <w:rPr>
          <w:rFonts w:ascii="Times New Roman" w:hAnsi="Times New Roman" w:cs="Times New Roman" w:eastAsia="Times New Roman"/>
          <w:sz w:val="22"/>
        </w:rPr>
        <w:t xml:space="preserve"> Abschnitt B.3 — Stilvorgabe.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3. </w:t>
      </w:r>
      <w:r>
        <w:rPr>
          <w:rFonts w:ascii="Courier New" w:hAnsi="Courier New" w:cs="Courier New" w:eastAsia="Courier New"/>
          <w:sz w:val="22"/>
        </w:rPr>
        <w:t>08-glossar-deutsch-englisch-fallstricke.md</w:t>
      </w:r>
      <w:r>
        <w:rPr>
          <w:rFonts w:ascii="Times New Roman" w:hAnsi="Times New Roman" w:cs="Times New Roman" w:eastAsia="Times New Roman"/>
          <w:sz w:val="22"/>
        </w:rPr>
        <w:t xml:space="preserve"> — für das Mandantenmemo verwenden.</w:t>
      </w:r>
    </w:p>
    <w:p>
      <w:pPr>
        <w:keepNext/>
        <w:spacing w:before="120" w:after="60"/>
      </w:pPr>
      <w:r>
        <w:rPr>
          <w:b/>
          <w:sz w:val="22"/>
          <w:rFonts w:ascii="Times New Roman" w:hAnsi="Times New Roman" w:cs="Times New Roman" w:eastAsia="Times New Roman"/>
        </w:rPr>
        <w:t>(e) Pfad E — Multi-Format-Dealroom (60 bis 90 Minuten)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1. </w:t>
      </w:r>
      <w:r>
        <w:rPr>
          <w:rFonts w:ascii="Courier New" w:hAnsi="Courier New" w:cs="Courier New" w:eastAsia="Courier New"/>
          <w:sz w:val="22"/>
        </w:rPr>
        <w:t>17-anschauungsmaterial-und-formate-index.md</w:t>
      </w:r>
      <w:r>
        <w:rPr>
          <w:rFonts w:ascii="Times New Roman" w:hAnsi="Times New Roman" w:cs="Times New Roman" w:eastAsia="Times New Roman"/>
          <w:sz w:val="22"/>
        </w:rPr>
        <w:t xml:space="preserve"> — Materialarten und Verlässlichkeit klären.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2. </w:t>
      </w:r>
      <w:r>
        <w:rPr>
          <w:rFonts w:ascii="Courier New" w:hAnsi="Courier New" w:cs="Courier New" w:eastAsia="Courier New"/>
          <w:sz w:val="22"/>
        </w:rPr>
        <w:t>18-cap-table-waterfall-training.xlsx</w:t>
      </w:r>
      <w:r>
        <w:rPr>
          <w:rFonts w:ascii="Times New Roman" w:hAnsi="Times New Roman" w:cs="Times New Roman" w:eastAsia="Times New Roman"/>
          <w:sz w:val="22"/>
        </w:rPr>
        <w:t xml:space="preserve"> — Zahlenlogik prüfen, nicht nur lesen.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3. </w:t>
      </w:r>
      <w:r>
        <w:rPr>
          <w:rFonts w:ascii="Courier New" w:hAnsi="Courier New" w:cs="Courier New" w:eastAsia="Courier New"/>
          <w:sz w:val="22"/>
        </w:rPr>
        <w:t>19-notar-scan-beurkundungssprache.pdf</w:t>
      </w:r>
      <w:r>
        <w:rPr>
          <w:rFonts w:ascii="Times New Roman" w:hAnsi="Times New Roman" w:cs="Times New Roman" w:eastAsia="Times New Roman"/>
          <w:sz w:val="22"/>
        </w:rPr>
        <w:t xml:space="preserve"> — Form-/Sprach-Gates markieren.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4. </w:t>
      </w:r>
      <w:r>
        <w:rPr>
          <w:rFonts w:ascii="Courier New" w:hAnsi="Courier New" w:cs="Courier New" w:eastAsia="Courier New"/>
          <w:sz w:val="22"/>
        </w:rPr>
        <w:t>20-whiteboard-foto-deal-map.jpg</w:t>
      </w:r>
      <w:r>
        <w:rPr>
          <w:rFonts w:ascii="Times New Roman" w:hAnsi="Times New Roman" w:cs="Times New Roman" w:eastAsia="Times New Roman"/>
          <w:sz w:val="22"/>
        </w:rPr>
        <w:t xml:space="preserve"> — Deal Map in eigene Dokumentkarte übertragen.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5. </w:t>
      </w:r>
      <w:r>
        <w:rPr>
          <w:rFonts w:ascii="Courier New" w:hAnsi="Courier New" w:cs="Courier New" w:eastAsia="Courier New"/>
          <w:sz w:val="22"/>
        </w:rPr>
        <w:t>21-investor-email-screenshot.jpg</w:t>
      </w:r>
      <w:r>
        <w:rPr>
          <w:rFonts w:ascii="Times New Roman" w:hAnsi="Times New Roman" w:cs="Times New Roman" w:eastAsia="Times New Roman"/>
          <w:sz w:val="22"/>
        </w:rPr>
        <w:t xml:space="preserve"> und </w:t>
      </w:r>
      <w:r>
        <w:rPr>
          <w:rFonts w:ascii="Courier New" w:hAnsi="Courier New" w:cs="Courier New" w:eastAsia="Courier New"/>
          <w:sz w:val="22"/>
        </w:rPr>
        <w:t>22-whatsapp-screenshot.jpg</w:t>
      </w:r>
      <w:r>
        <w:rPr>
          <w:rFonts w:ascii="Times New Roman" w:hAnsi="Times New Roman" w:cs="Times New Roman" w:eastAsia="Times New Roman"/>
          <w:sz w:val="22"/>
        </w:rPr>
        <w:t xml:space="preserve"> — Screenshot/Chat als Quelle kritisch einordnen.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6. </w:t>
      </w:r>
      <w:r>
        <w:rPr>
          <w:rFonts w:ascii="Courier New" w:hAnsi="Courier New" w:cs="Courier New" w:eastAsia="Courier New"/>
          <w:sz w:val="22"/>
        </w:rPr>
        <w:t>23-rookie-cheatsheet-corporate-legal-english.pdf</w:t>
      </w:r>
      <w:r>
        <w:rPr>
          <w:rFonts w:ascii="Times New Roman" w:hAnsi="Times New Roman" w:cs="Times New Roman" w:eastAsia="Times New Roman"/>
          <w:sz w:val="22"/>
        </w:rPr>
        <w:t xml:space="preserve"> — Abschlusskontrolle vor Partnerbriefing.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3. Testziele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Begriffe Deutsch/Englisch erklären, ohne Scheinsynonyme zu produzieren.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Cap Table, Gesellschafterliste und fully diluted basis trennen.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Term Sheet in deutsche Umsetzungsfragen übersetzen.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Anfänger-/First-Year-Modus sinnvoll aktivieren.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Partnerbriefing, Mandantenmemo und Rückfragenliste erzeugen.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Markup-Roundtrips professionell fahren (Datei 11).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Notar-, Register- und Sprachfragen korrekt einordnen (Datei 12).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Reserved-Matters in deutsche Gesellschaftsstruktur übersetzen (Datei 14).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CP-Liste und Long-Stop einhalten (Datei 15).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Multi-Format-Unterlagen quellenkritisch auswerten: Screenshot, Scan, Chat, Excel und PDF nicht gleich behandeln.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Keine Paywall-Fundstellen oder Blindzitate verwenden. Quellen ausschließlich dejure.org, openjur.de, bundesgerichtshof.de, bundesarbeitsgericht.de, bundessozialgericht.de, bundesfinanzhof.de, curia.europa.eu, Landesjustizportale.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4. Quellenhinweis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Die Testakte zitiert keine Rechtsprechung als Belegmaterial. Soweit Aktenzeichen oder Normen in den Lehrmaterialien auftauchen, sind sie in den Plugin-Skills selbst (</w:t>
      </w:r>
      <w:r>
        <w:rPr>
          <w:rFonts w:ascii="Courier New" w:hAnsi="Courier New" w:cs="Courier New" w:eastAsia="Courier New"/>
          <w:sz w:val="22"/>
        </w:rPr>
        <w:t>gesellschaftsrecht-legal-english/skills/...</w:t>
      </w:r>
      <w:r>
        <w:rPr>
          <w:rFonts w:ascii="Times New Roman" w:hAnsi="Times New Roman" w:cs="Times New Roman" w:eastAsia="Times New Roman"/>
          <w:sz w:val="22"/>
        </w:rPr>
        <w:t>) sauber belegt. Die Testakte ist ausschließlich didaktisch.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5. Hinweis zur Bearbeitung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Diese Akte ist im Trockenlauf zu bearbeiten. Jede Mandantenantwort, jedes Markup und jede Investorenantwort geht durch die Partnerin. Senior-Review-Gates sind in </w:t>
      </w:r>
      <w:r>
        <w:rPr>
          <w:rFonts w:ascii="Courier New" w:hAnsi="Courier New" w:cs="Courier New" w:eastAsia="Courier New"/>
          <w:sz w:val="22"/>
        </w:rPr>
        <w:t>07-erwarteter-output-ohne-musterlösung.md</w:t>
      </w:r>
      <w:r>
        <w:rPr>
          <w:rFonts w:ascii="Times New Roman" w:hAnsi="Times New Roman" w:cs="Times New Roman" w:eastAsia="Times New Roman"/>
          <w:sz w:val="22"/>
        </w:rPr>
        <w:t xml:space="preserve"> Abschnitt B.2 dokumentiert.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896"/>
      <w:gridCol w:w="3175"/>
    </w:tblGrid>
    <w:tr>
      <w:tc>
        <w:tcPr>
          <w:tcW w:type="dxa" w:w="5897"/>
        </w:tcPr>
        <w:p>
          <w:pPr>
            <w:spacing w:after="0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>Vertraulich — Lehrmaterial Didaktisches Gesellschaftsrecht</w:t>
          </w:r>
        </w:p>
      </w:tc>
      <w:tc>
        <w:tcPr>
          <w:tcW w:type="dxa" w:w="3175"/>
        </w:tcPr>
        <w:p>
          <w:pPr>
            <w:spacing w:after="0"/>
            <w:jc w:val="right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 xml:space="preserve">Seite </w:t>
          </w:r>
          <w:r>
            <w:rPr>
              <w:rFonts w:ascii="Times New Roman" w:hAnsi="Times New Roman" w:cs="Times New Roman" w:eastAsia="Times New Roman"/>
              <w:sz w:val="18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b w:val="0"/>
              <w:sz w:val="18"/>
              <w:rFonts w:ascii="Times New Roman" w:hAnsi="Times New Roman" w:cs="Times New Roman" w:eastAsia="Times New Roman"/>
            </w:rPr>
            <w:t xml:space="preserve"> von </w:t>
          </w:r>
          <w:r>
            <w:rPr>
              <w:rFonts w:ascii="Times New Roman" w:hAnsi="Times New Roman" w:cs="Times New Roman" w:eastAsia="Times New Roman"/>
              <w:sz w:val="18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896"/>
      <w:gridCol w:w="3175"/>
    </w:tblGrid>
    <w:tr>
      <w:tc>
        <w:tcPr>
          <w:tcW w:type="dxa" w:w="5897"/>
        </w:tcPr>
        <w:p>
          <w:pPr>
            <w:spacing w:after="0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>Kometenfalter Systems GmbH — Series A Project Comet Moth</w:t>
          </w:r>
        </w:p>
      </w:tc>
      <w:tc>
        <w:tcPr>
          <w:tcW w:type="dxa" w:w="3175"/>
        </w:tcPr>
        <w:p>
          <w:pPr>
            <w:spacing w:after="0"/>
            <w:jc w:val="right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>README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Testakte: Frankfurt Startup Round — Corporate Legal English</dc:title>
  <dc:subject/>
  <dc:creator>Perplexity Computer</dc:creator>
  <cp:keywords/>
  <dc:description>Didaktisches Gesellschaftsrecht — English Business Terms</dc:description>
  <cp:lastModifiedBy/>
  <cp:revision>1</cp:revision>
  <dcterms:created xsi:type="dcterms:W3CDTF">2013-12-23T23:15:00Z</dcterms:created>
  <dcterms:modified xsi:type="dcterms:W3CDTF">2013-12-23T23:15:00Z</dcterms:modified>
  <cp:category>Didaktisches Gesellschaftsrecht — English Business Terms</cp:category>
</cp:coreProperties>
</file>