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Raumfuge Architektur PartG</w:t>
        <w:br/>
        <w:t>Siebenhöfer Weg 22, 32657 Lemgo</w:t>
        <w:br/>
        <w:t>post@raumfuge.example</w:t>
      </w:r>
    </w:p>
    <w:p>
      <w:r>
        <w:t>An: Weserbogen Bau GmbH</w:t>
        <w:br/>
        <w:t>Klinkerweg 14, 32657 Lemgo</w:t>
        <w:br/>
        <w:t>rechnung@weserbogen-bau.example</w:t>
      </w:r>
    </w:p>
    <w:p>
      <w:r>
        <w:t>31.07.2026 | Zeichen: QB-26 / AM-07</w:t>
      </w:r>
    </w:p>
    <w:p>
      <w:pPr>
        <w:pStyle w:val="Title"/>
      </w:pPr>
      <w:r>
        <w:t>Gemeinsames Aufmaß AM07</w:t>
      </w:r>
    </w:p>
    <w:p>
      <w:r>
        <w:t>Quartiershaus Brake, Umbau Werkflügel, Lemgo</w:t>
      </w:r>
    </w:p>
    <w:p>
      <w:pPr>
        <w:pStyle w:val="Heading1"/>
      </w:pPr>
      <w:r>
        <w:t>1 Aufnahmetermin</w:t>
      </w:r>
    </w:p>
    <w:p>
      <w:r>
        <w:t>Am 31.07.2026 wurden zwischen 07:30 und 10:10 Uhr die ausgeführten Bauteile im Werkflügel aufgenommen. Die Werte sind kumulativ einschließlich Juni. Für die Bewehrung lag Stahlliste S-06 mit 17,40 t eingebauter Masse vor. 0,80 t verblieben nach Wiegen im verschlossenen Lager. Der Lieferschein allein wurde nicht als Einbaunachweis unterzeichnet.</w:t>
      </w:r>
    </w:p>
    <w:p>
      <w:pPr>
        <w:pStyle w:val="Heading1"/>
      </w:pPr>
      <w:r>
        <w:t>2 Mauerwerk und Stützen</w:t>
      </w:r>
    </w:p>
    <w:p>
      <w:r>
        <w:t>Die Bruttofläche des Mauerwerks beträgt 402,00 m². Für die drei Öffnungen an Achse 5 wurden 9,60 m² abgezogen, so dass Frau Seidel 392,40 m² festhält. Herr Brandt unterschreibt nur die Maße und hält an 402,00 m² für seine Abrechnung fest. Sechs Stahlstützen sind einschließlich Verguss eingebaut. Zwei liegen auf Paletten; deren Anschlussplatten fehlen noch.</w:t>
      </w:r>
    </w:p>
    <w:p>
      <w:pPr>
        <w:pStyle w:val="Heading1"/>
      </w:pPr>
      <w:r>
        <w:t>3 Pumpen und Nebenarbeiten</w:t>
      </w:r>
    </w:p>
    <w:p>
      <w:r>
        <w:t>N01 ist mit 18,00 m erledigt. Zur Pumpe wurde kein gemeinsames Tagesprotokoll geführt. Im Bautagebuch sind Betriebskontrollen an den neun Arbeitstagen zwischen 06. und 16.07. vermerkt; am 17.07. fehlt ein Eintrag. Hier wird weder ein Pumpenpreis noch eine Anordnungsbefugnis bestätigt.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835"/>
            <w:shd w:fill="E7ECE9"/>
          </w:tcPr>
          <w:p>
            <w:pPr>
              <w:spacing w:after="60" w:before="60"/>
            </w:pPr>
            <w:r>
              <w:rPr>
                <w:sz w:val="20"/>
              </w:rPr>
              <w:t>Pos.</w:t>
            </w:r>
          </w:p>
        </w:tc>
        <w:tc>
          <w:tcPr>
            <w:tcW w:type="dxa" w:w="2835"/>
            <w:shd w:fill="E7ECE9"/>
          </w:tcPr>
          <w:p>
            <w:pPr>
              <w:spacing w:after="60" w:before="60"/>
            </w:pPr>
            <w:r>
              <w:rPr>
                <w:sz w:val="20"/>
              </w:rPr>
              <w:t>Einheit</w:t>
            </w:r>
          </w:p>
        </w:tc>
        <w:tc>
          <w:tcPr>
            <w:tcW w:type="dxa" w:w="3969"/>
            <w:shd w:fill="E7ECE9"/>
          </w:tcPr>
          <w:p>
            <w:pPr>
              <w:spacing w:after="60" w:before="60"/>
            </w:pPr>
            <w:r>
              <w:rPr>
                <w:sz w:val="20"/>
              </w:rPr>
              <w:t>Festgehaltene Menge</w:t>
            </w:r>
          </w:p>
        </w:tc>
      </w:tr>
      <w:tr>
        <w:tc>
          <w:tcPr>
            <w:tcW w:type="dxa" w:w="2835"/>
          </w:tcPr>
          <w:p>
            <w:pPr>
              <w:spacing w:after="60" w:before="60"/>
            </w:pPr>
            <w:r>
              <w:rPr>
                <w:sz w:val="20"/>
              </w:rPr>
              <w:t>01.010</w:t>
            </w:r>
          </w:p>
        </w:tc>
        <w:tc>
          <w:tcPr>
            <w:tcW w:type="dxa" w:w="2835"/>
          </w:tcPr>
          <w:p>
            <w:pPr>
              <w:spacing w:after="60" w:before="60"/>
            </w:pPr>
            <w:r>
              <w:rPr>
                <w:sz w:val="20"/>
              </w:rPr>
              <w:t>psch</w:t>
            </w:r>
          </w:p>
        </w:tc>
        <w:tc>
          <w:tcPr>
            <w:tcW w:type="dxa" w:w="3969"/>
          </w:tcPr>
          <w:p>
            <w:pPr>
              <w:spacing w:after="60" w:before="60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2835"/>
          </w:tcPr>
          <w:p>
            <w:pPr>
              <w:spacing w:after="60" w:before="60"/>
            </w:pPr>
            <w:r>
              <w:rPr>
                <w:sz w:val="20"/>
              </w:rPr>
              <w:t>02.010</w:t>
            </w:r>
          </w:p>
        </w:tc>
        <w:tc>
          <w:tcPr>
            <w:tcW w:type="dxa" w:w="2835"/>
          </w:tcPr>
          <w:p>
            <w:pPr>
              <w:spacing w:after="60" w:before="60"/>
            </w:pPr>
            <w:r>
              <w:rPr>
                <w:sz w:val="20"/>
              </w:rPr>
              <w:t>m³</w:t>
            </w:r>
          </w:p>
        </w:tc>
        <w:tc>
          <w:tcPr>
            <w:tcW w:type="dxa" w:w="3969"/>
          </w:tcPr>
          <w:p>
            <w:pPr>
              <w:spacing w:after="60" w:before="60"/>
            </w:pPr>
            <w:r>
              <w:rPr>
                <w:sz w:val="20"/>
              </w:rPr>
              <w:t>118,50</w:t>
            </w:r>
          </w:p>
        </w:tc>
      </w:tr>
      <w:tr>
        <w:tc>
          <w:tcPr>
            <w:tcW w:type="dxa" w:w="2835"/>
          </w:tcPr>
          <w:p>
            <w:pPr>
              <w:spacing w:after="60" w:before="60"/>
            </w:pPr>
            <w:r>
              <w:rPr>
                <w:sz w:val="20"/>
              </w:rPr>
              <w:t>02.020</w:t>
            </w:r>
          </w:p>
        </w:tc>
        <w:tc>
          <w:tcPr>
            <w:tcW w:type="dxa" w:w="2835"/>
          </w:tcPr>
          <w:p>
            <w:pPr>
              <w:spacing w:after="60" w:before="60"/>
            </w:pPr>
            <w:r>
              <w:rPr>
                <w:sz w:val="20"/>
              </w:rPr>
              <w:t>t</w:t>
            </w:r>
          </w:p>
        </w:tc>
        <w:tc>
          <w:tcPr>
            <w:tcW w:type="dxa" w:w="3969"/>
          </w:tcPr>
          <w:p>
            <w:pPr>
              <w:spacing w:after="60" w:before="60"/>
            </w:pPr>
            <w:r>
              <w:rPr>
                <w:sz w:val="20"/>
              </w:rPr>
              <w:t>17,40</w:t>
            </w:r>
          </w:p>
        </w:tc>
      </w:tr>
      <w:tr>
        <w:tc>
          <w:tcPr>
            <w:tcW w:type="dxa" w:w="2835"/>
          </w:tcPr>
          <w:p>
            <w:pPr>
              <w:spacing w:after="60" w:before="60"/>
            </w:pPr>
            <w:r>
              <w:rPr>
                <w:sz w:val="20"/>
              </w:rPr>
              <w:t>03.010</w:t>
            </w:r>
          </w:p>
        </w:tc>
        <w:tc>
          <w:tcPr>
            <w:tcW w:type="dxa" w:w="2835"/>
          </w:tcPr>
          <w:p>
            <w:pPr>
              <w:spacing w:after="60" w:before="60"/>
            </w:pPr>
            <w:r>
              <w:rPr>
                <w:sz w:val="20"/>
              </w:rPr>
              <w:t>m²</w:t>
            </w:r>
          </w:p>
        </w:tc>
        <w:tc>
          <w:tcPr>
            <w:tcW w:type="dxa" w:w="3969"/>
          </w:tcPr>
          <w:p>
            <w:pPr>
              <w:spacing w:after="60" w:before="60"/>
            </w:pPr>
            <w:r>
              <w:rPr>
                <w:sz w:val="20"/>
              </w:rPr>
              <w:t>392,40</w:t>
            </w:r>
          </w:p>
        </w:tc>
      </w:tr>
      <w:tr>
        <w:tc>
          <w:tcPr>
            <w:tcW w:type="dxa" w:w="2835"/>
          </w:tcPr>
          <w:p>
            <w:pPr>
              <w:spacing w:after="60" w:before="60"/>
            </w:pPr>
            <w:r>
              <w:rPr>
                <w:sz w:val="20"/>
              </w:rPr>
              <w:t>03.020</w:t>
            </w:r>
          </w:p>
        </w:tc>
        <w:tc>
          <w:tcPr>
            <w:tcW w:type="dxa" w:w="2835"/>
          </w:tcPr>
          <w:p>
            <w:pPr>
              <w:spacing w:after="60" w:before="60"/>
            </w:pPr>
            <w:r>
              <w:rPr>
                <w:sz w:val="20"/>
              </w:rPr>
              <w:t>m²</w:t>
            </w:r>
          </w:p>
        </w:tc>
        <w:tc>
          <w:tcPr>
            <w:tcW w:type="dxa" w:w="3969"/>
          </w:tcPr>
          <w:p>
            <w:pPr>
              <w:spacing w:after="60" w:before="60"/>
            </w:pPr>
            <w:r>
              <w:rPr>
                <w:sz w:val="20"/>
              </w:rPr>
              <w:t>248</w:t>
            </w:r>
          </w:p>
        </w:tc>
      </w:tr>
      <w:tr>
        <w:tc>
          <w:tcPr>
            <w:tcW w:type="dxa" w:w="2835"/>
          </w:tcPr>
          <w:p>
            <w:pPr>
              <w:spacing w:after="60" w:before="60"/>
            </w:pPr>
            <w:r>
              <w:rPr>
                <w:sz w:val="20"/>
              </w:rPr>
              <w:t>04.010</w:t>
            </w:r>
          </w:p>
        </w:tc>
        <w:tc>
          <w:tcPr>
            <w:tcW w:type="dxa" w:w="2835"/>
          </w:tcPr>
          <w:p>
            <w:pPr>
              <w:spacing w:after="60" w:before="60"/>
            </w:pPr>
            <w:r>
              <w:rPr>
                <w:sz w:val="20"/>
              </w:rPr>
              <w:t>m³</w:t>
            </w:r>
          </w:p>
        </w:tc>
        <w:tc>
          <w:tcPr>
            <w:tcW w:type="dxa" w:w="3969"/>
          </w:tcPr>
          <w:p>
            <w:pPr>
              <w:spacing w:after="60" w:before="60"/>
            </w:pPr>
            <w:r>
              <w:rPr>
                <w:sz w:val="20"/>
              </w:rPr>
              <w:t>82</w:t>
            </w:r>
          </w:p>
        </w:tc>
      </w:tr>
      <w:tr>
        <w:tc>
          <w:tcPr>
            <w:tcW w:type="dxa" w:w="2835"/>
          </w:tcPr>
          <w:p>
            <w:pPr>
              <w:spacing w:after="60" w:before="60"/>
            </w:pPr>
            <w:r>
              <w:rPr>
                <w:sz w:val="20"/>
              </w:rPr>
              <w:t>04.020</w:t>
            </w:r>
          </w:p>
        </w:tc>
        <w:tc>
          <w:tcPr>
            <w:tcW w:type="dxa" w:w="2835"/>
          </w:tcPr>
          <w:p>
            <w:pPr>
              <w:spacing w:after="60" w:before="60"/>
            </w:pPr>
            <w:r>
              <w:rPr>
                <w:sz w:val="20"/>
              </w:rPr>
              <w:t>m²</w:t>
            </w:r>
          </w:p>
        </w:tc>
        <w:tc>
          <w:tcPr>
            <w:tcW w:type="dxa" w:w="3969"/>
          </w:tcPr>
          <w:p>
            <w:pPr>
              <w:spacing w:after="60" w:before="60"/>
            </w:pPr>
            <w:r>
              <w:rPr>
                <w:sz w:val="20"/>
              </w:rPr>
              <w:t>142</w:t>
            </w:r>
          </w:p>
        </w:tc>
      </w:tr>
      <w:tr>
        <w:tc>
          <w:tcPr>
            <w:tcW w:type="dxa" w:w="2835"/>
          </w:tcPr>
          <w:p>
            <w:pPr>
              <w:spacing w:after="60" w:before="60"/>
            </w:pPr>
            <w:r>
              <w:rPr>
                <w:sz w:val="20"/>
              </w:rPr>
              <w:t>05.010</w:t>
            </w:r>
          </w:p>
        </w:tc>
        <w:tc>
          <w:tcPr>
            <w:tcW w:type="dxa" w:w="2835"/>
          </w:tcPr>
          <w:p>
            <w:pPr>
              <w:spacing w:after="60" w:before="60"/>
            </w:pPr>
            <w:r>
              <w:rPr>
                <w:sz w:val="20"/>
              </w:rPr>
              <w:t>St</w:t>
            </w:r>
          </w:p>
        </w:tc>
        <w:tc>
          <w:tcPr>
            <w:tcW w:type="dxa" w:w="3969"/>
          </w:tcPr>
          <w:p>
            <w:pPr>
              <w:spacing w:after="60" w:before="60"/>
            </w:pPr>
            <w:r>
              <w:rPr>
                <w:sz w:val="20"/>
              </w:rPr>
              <w:t>6</w:t>
            </w:r>
          </w:p>
        </w:tc>
      </w:tr>
    </w:tbl>
    <w:p>
      <w:r>
        <w:t>gez. Kirsten Seidel, Objektüberwachung</w:t>
        <w:br/>
        <w:t>gez. Leon Brandt, Bauleitung mit Vorbehalt zu 03.010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QB-26 / AM-07 | 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60" w:line="252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Gemeinsames Aufmaß AM07</dc:title>
  <dc:subject/>
  <dc:creator>Klotzkette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