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Porta Hallenbau GmbH</w:t>
        <w:br/>
        <w:t>Gewerbeanger 5, 32457 Porta Westfalica</w:t>
        <w:br/>
        <w:t>projekt@porta-hallenbau.example</w:t>
      </w:r>
    </w:p>
    <w:p>
      <w:r>
        <w:t>An: Logistikverband Wesertor</w:t>
        <w:br/>
        <w:t>Deichbogen 28, 32423 Minden</w:t>
        <w:br/>
        <w:t>bau@wesertor-logistik.example</w:t>
      </w:r>
    </w:p>
    <w:p>
      <w:r>
        <w:t>10.06.2026 | Zeichen: HW-26 / Forderung BZ01</w:t>
      </w:r>
    </w:p>
    <w:p>
      <w:pPr>
        <w:pStyle w:val="Title"/>
      </w:pPr>
      <w:r>
        <w:t>Forderung wegen verlängerter Bauzeit</w:t>
      </w:r>
    </w:p>
    <w:p>
      <w:r>
        <w:t>Hochwasserlager Wesertor, Neubau Gerätehalle, Minden</w:t>
      </w:r>
    </w:p>
    <w:p>
      <w:pPr>
        <w:pStyle w:val="Heading1"/>
      </w:pPr>
      <w:r>
        <w:t>1 Unsere Zeitberechnung</w:t>
      </w:r>
    </w:p>
    <w:p>
      <w:r>
        <w:t>Wir fordern wegen der verspäteten Fundamentplanung und der verspäteten Leitungsfreigabe zusätzliche Vergütung. Für den fehlenden Plan setzen wir die zehn Arbeitstage vom 09. bis 20.03. an. Für die gesperrte Südtrasse setzen wir weitere zehn Arbeitstage vom 16. bis 27.03. an. Wir gelangen damit zu zwanzig vergütungspflichtigen Tagen. Die Übergabe erfolgte tatsächlich erst am 08.06. statt am 15.05.2026.</w:t>
      </w:r>
    </w:p>
    <w:p>
      <w:pPr>
        <w:pStyle w:val="Heading1"/>
      </w:pPr>
      <w:r>
        <w:t>2 Kostenforderung</w:t>
      </w:r>
    </w:p>
    <w:p>
      <w:r>
        <w:t>Unsere beigefügte Berechnung ergibt 33.684,00 EUR netto, zuzüglich 6.399,96 EUR Umsatzsteuer, insgesamt 40.083,96 EUR. Darin enthalten sind verlängerte Tageskosten, zusätzliche Personalstunden und acht Prozent allgemeine Geschäftskosten auf die Tageskosten. Wir verlangen Zahlung binnen 21 Tagen. Die April-Schichten betrachten wir als notwendige Beschleunigung zur Begrenzung weiteren Verzugs.</w:t>
      </w:r>
    </w:p>
    <w:p>
      <w:pPr>
        <w:pStyle w:val="Heading1"/>
      </w:pPr>
      <w:r>
        <w:t>3 Begründung unserer Forderung</w:t>
      </w:r>
    </w:p>
    <w:p>
      <w:r>
        <w:t>Wir halten die Bauherrin für die fehlende Planung und die nicht freigegebene Leitung verantwortlich. Unsere Anzeigen vom 09. und 16.03. liegen vor. Aus unserer Sicht gehen die späteren Verschiebungen auf diese Ereignisse zurück. Dass im Norden gearbeitet wurde, beseitigt nach unserer Auffassung die Belastung durch vorgehaltene Ressourcen nicht. Eine rechtliche Anerkennung der Forderung durch den Verband behaupten wir nicht; über Grundlage und Umfang besteht noch keine Einigung.</w:t>
      </w:r>
    </w:p>
    <w:p>
      <w:r>
        <w:t>gez. Stefan Köster, Geschäftsführer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HW-26 / Forderung BZ01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 wegen verlängerter Bauzeit</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