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Leistungsverzeichnis Ausbau Bachwinkel</w:t>
      </w:r>
    </w:p>
    <w:p>
      <w:pPr>
        <w:spacing w:after="80"/>
      </w:pPr>
      <w:r>
        <w:rPr>
          <w:sz w:val="18"/>
        </w:rPr>
        <w:t>Ralf Seeger | Planungsbüro Raumkante</w:t>
      </w:r>
    </w:p>
    <w:p>
      <w:pPr>
        <w:spacing w:after="80"/>
      </w:pPr>
      <w:r>
        <w:rPr>
          <w:sz w:val="18"/>
        </w:rPr>
        <w:t>An: Interne Vergabeablage BW-26</w:t>
      </w:r>
    </w:p>
    <w:p>
      <w:pPr>
        <w:spacing w:after="80"/>
      </w:pPr>
      <w:r>
        <w:rPr>
          <w:sz w:val="18"/>
        </w:rPr>
        <w:t>14.09.2026 | BW-LV-AU / Revision 03 / noch nicht versandt</w:t>
      </w:r>
    </w:p>
    <w:p>
      <w:pPr>
        <w:pStyle w:val="Heading1"/>
      </w:pPr>
      <w:r>
        <w:t>1 Vorbemerkungen</w:t>
      </w:r>
    </w:p>
    <w:p>
      <w:pPr/>
      <w:r>
        <w:t>Die Leistungen betreffen den Innenausbau des Erdgeschosses Bachwinkel 22, Detmold. Abgerechnet werden die tatsächlich ausgeführten Mengen zu den angebotenen Einheitspreisen. Die nachstehenden Mengen dienen der Angebotskalkulation. Preise sind vom Bieter einzutragen; dieses Dokument enthält keine Planerpreise. Die Baustelle kann nach Terminabstimmung besichtigt werden. Ausbauleistungen im Obergeschoss sind nicht enthalten.</w:t>
      </w:r>
    </w:p>
    <w:p>
      <w:pPr/>
      <w:r>
        <w:t>Grundlage des Mengengerüsts ist BW-A-21/02. Beim Fortschreiben der Texte wurden die Raumbezeichnungen aus BB-01 übernommen. Die Einarbeitung der am 11.09. eingegangenen Fach- und Nutzerunterlagen ist im internen Laufzettel noch nicht als abgeschlossen vermerkt. Ralf Seeger hat die Revision 03 am 14.09. um 16:30 Uhr in die Ablage gestellt.</w:t>
      </w:r>
    </w:p>
    <w:p>
      <w:pPr>
        <w:pStyle w:val="Heading1"/>
      </w:pPr>
      <w:r>
        <w:t>1.1 Baustelleneinrichtung</w:t>
      </w:r>
    </w:p>
    <w:p>
      <w:pPr/>
      <w:r>
        <w:t>Position 01.010 umfasst das Einrichten und Räumen der Ausbauarbeitsplätze einschließlich einer staubdichten und abschließbaren Trennung zum Treppenhaus. Vorhandene Flächen außerhalb des Arbeitsbereichs sind vor Beschädigung zu schützen. Die Schutzmaßnahmen sind bis zum Abschluss der stauberzeugenden Arbeiten vorzuhalten und anschließend rückstandsfrei zurückzubauen. Menge: 1 pauschal.</w:t>
      </w:r>
    </w:p>
    <w:p>
      <w:pPr>
        <w:pStyle w:val="Heading1"/>
      </w:pPr>
      <w:r>
        <w:t>1.2 Metallständerwand</w:t>
      </w:r>
    </w:p>
    <w:p>
      <w:pPr/>
      <w:r>
        <w:t>Position 02.010 umfasst die Trennwand zwischen 0.11 und 0.12 als nichttragende Metallständerwand mit 100 mm Fertigdicke, beidseitig einlagiger Beplankung und Mineralwolleeinlage. Die Wand ist an angrenzende Bauteile anzuschließen und bis zur tragenden Decke zu führen. Öffnungen sind nicht vorgesehen. Menge: 14,88 m².</w:t>
      </w:r>
    </w:p>
    <w:p>
      <w:pPr/>
      <w:r>
        <w:t>Position 02.020 umfasst das Verspachteln der sichtbaren Plattenflächen der Position 02.010 in Qualitätsstufe Q2 einschließlich der Befestigungspunkte. Ein vollflächiger Feinspachtelauftrag ist nicht Bestandteil dieser Position. Das anschließende Anstrichsystem ist in Position 04.010 erfasst. Menge: 29,76 m².</w:t>
      </w:r>
    </w:p>
    <w:tbl>
      <w:tblPr>
        <w:tblW w:type="auto" w:w="0"/>
        <w:tblLayout w:type="fixed"/>
        <w:tblLook w:firstColumn="1" w:firstRow="1" w:lastColumn="0" w:lastRow="0" w:noHBand="0" w:noVBand="1" w:val="04A0"/>
      </w:tblPr>
      <w:tblGrid>
        <w:gridCol w:w="4762"/>
        <w:gridCol w:w="2381"/>
        <w:gridCol w:w="2381"/>
      </w:tblGrid>
      <w:tr>
        <w:trPr>
          <w:cantSplit/>
          <w:tblHeader/>
        </w:trPr>
        <w:tc>
          <w:tcPr>
            <w:tcW w:type="dxa" w:w="4762"/>
            <w:tcBorders>
              <w:top w:val="single" w:sz="4" w:color="D9D9D9"/>
              <w:left w:val="single" w:sz="4" w:color="D9D9D9"/>
              <w:bottom w:val="single" w:sz="4" w:color="D9D9D9"/>
              <w:right w:val="single" w:sz="4" w:color="D9D9D9"/>
            </w:tcBorders>
            <w:tcMar>
              <w:top w:w="85" w:type="dxa"/>
              <w:left w:w="85" w:type="dxa"/>
              <w:bottom w:w="85" w:type="dxa"/>
              <w:right w:w="85" w:type="dxa"/>
            </w:tcMar>
            <w:shd w:fill="E6EDF1"/>
          </w:tcPr>
          <w:p>
            <w:pPr>
              <w:spacing w:after="60" w:line="252" w:lineRule="auto"/>
            </w:pPr>
            <w:r>
              <w:rPr>
                <w:b/>
                <w:sz w:val="20"/>
              </w:rPr>
              <w:t>Position</w:t>
            </w:r>
          </w:p>
        </w:tc>
        <w:tc>
          <w:tcPr>
            <w:tcW w:type="dxa" w:w="2381"/>
            <w:tcBorders>
              <w:top w:val="single" w:sz="4" w:color="D9D9D9"/>
              <w:left w:val="single" w:sz="4" w:color="D9D9D9"/>
              <w:bottom w:val="single" w:sz="4" w:color="D9D9D9"/>
              <w:right w:val="single" w:sz="4" w:color="D9D9D9"/>
            </w:tcBorders>
            <w:tcMar>
              <w:top w:w="85" w:type="dxa"/>
              <w:left w:w="85" w:type="dxa"/>
              <w:bottom w:w="85" w:type="dxa"/>
              <w:right w:w="85" w:type="dxa"/>
            </w:tcMar>
            <w:shd w:fill="E6EDF1"/>
          </w:tcPr>
          <w:p>
            <w:pPr>
              <w:spacing w:after="60" w:line="252" w:lineRule="auto"/>
            </w:pPr>
            <w:r>
              <w:rPr>
                <w:b/>
                <w:sz w:val="20"/>
              </w:rPr>
              <w:t>Menge</w:t>
            </w:r>
          </w:p>
        </w:tc>
        <w:tc>
          <w:tcPr>
            <w:tcW w:type="dxa" w:w="2381"/>
            <w:tcBorders>
              <w:top w:val="single" w:sz="4" w:color="D9D9D9"/>
              <w:left w:val="single" w:sz="4" w:color="D9D9D9"/>
              <w:bottom w:val="single" w:sz="4" w:color="D9D9D9"/>
              <w:right w:val="single" w:sz="4" w:color="D9D9D9"/>
            </w:tcBorders>
            <w:tcMar>
              <w:top w:w="85" w:type="dxa"/>
              <w:left w:w="85" w:type="dxa"/>
              <w:bottom w:w="85" w:type="dxa"/>
              <w:right w:w="85" w:type="dxa"/>
            </w:tcMar>
            <w:shd w:fill="E6EDF1"/>
          </w:tcPr>
          <w:p>
            <w:pPr>
              <w:spacing w:after="60" w:line="252" w:lineRule="auto"/>
            </w:pPr>
            <w:r>
              <w:rPr>
                <w:b/>
                <w:sz w:val="20"/>
              </w:rPr>
              <w:t>Einheit</w:t>
            </w:r>
          </w:p>
        </w:tc>
      </w:tr>
      <w:tr>
        <w:trPr>
          <w:cantSplit/>
        </w:trPr>
        <w:tc>
          <w:tcPr>
            <w:tcW w:type="dxa" w:w="476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01.010</w:t>
            </w:r>
          </w:p>
        </w:tc>
        <w:tc>
          <w:tcPr>
            <w:tcW w:type="dxa" w:w="238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1</w:t>
            </w:r>
          </w:p>
        </w:tc>
        <w:tc>
          <w:tcPr>
            <w:tcW w:type="dxa" w:w="238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pauschal</w:t>
            </w:r>
          </w:p>
        </w:tc>
      </w:tr>
      <w:tr>
        <w:trPr>
          <w:cantSplit/>
        </w:trPr>
        <w:tc>
          <w:tcPr>
            <w:tcW w:type="dxa" w:w="476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02.010</w:t>
            </w:r>
          </w:p>
        </w:tc>
        <w:tc>
          <w:tcPr>
            <w:tcW w:type="dxa" w:w="238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14,88</w:t>
            </w:r>
          </w:p>
        </w:tc>
        <w:tc>
          <w:tcPr>
            <w:tcW w:type="dxa" w:w="238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m²</w:t>
            </w:r>
          </w:p>
        </w:tc>
      </w:tr>
      <w:tr>
        <w:trPr>
          <w:cantSplit/>
        </w:trPr>
        <w:tc>
          <w:tcPr>
            <w:tcW w:type="dxa" w:w="476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02.020</w:t>
            </w:r>
          </w:p>
        </w:tc>
        <w:tc>
          <w:tcPr>
            <w:tcW w:type="dxa" w:w="238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29,76</w:t>
            </w:r>
          </w:p>
        </w:tc>
        <w:tc>
          <w:tcPr>
            <w:tcW w:type="dxa" w:w="238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m²</w:t>
            </w:r>
          </w:p>
        </w:tc>
      </w:tr>
    </w:tbl>
    <w:p>
      <w:pPr>
        <w:spacing w:after="40"/>
      </w:pPr>
    </w:p>
    <w:p>
      <w:r>
        <w:br w:type="page"/>
      </w:r>
    </w:p>
    <w:p>
      <w:pPr>
        <w:pStyle w:val="Heading1"/>
      </w:pPr>
      <w:r>
        <w:t>2 Bodenarbeiten</w:t>
      </w:r>
    </w:p>
    <w:p>
      <w:pPr/>
      <w:r>
        <w:t>Position 03.010 umfasst Lieferung und Verlegung eines PVC-Belags in Bahnen in den Gruppenräumen 0.11 und 0.12 sowie im Flur 0.10. Der Belag wird vollflächig verklebt; Fugen sind entsprechend dem gewählten System zu schließen. Der Farbton wird aus der Standardkollektion des angebotenen Herstellers gewählt. Die Position umfasst einen Verschnittansatz von 10 Prozent in der ausgeschriebenen Menge. Menge: 105,60 m².</w:t>
      </w:r>
    </w:p>
    <w:p>
      <w:pPr/>
      <w:r>
        <w:t>Position 03.020 umfasst Sockelstreifen aus dem Material der Position 03.010, 8 cm hoch, einschließlich Innen- und Außenecken. Abgerechnet wird die ausgeführte Länge. Öffnungen werden abgezogen. Menge: 67,20 m. Die Erneuerung der Fliesen in Raum 0.13 ist nicht enthalten. Zum Austausch einzelner loser Fliesen ist in dieser Revision keine Position angelegt.</w:t>
      </w:r>
    </w:p>
    <w:p>
      <w:pPr>
        <w:pStyle w:val="Heading1"/>
      </w:pPr>
      <w:r>
        <w:t>3 Malerarbeiten</w:t>
      </w:r>
    </w:p>
    <w:p>
      <w:pPr/>
      <w:r>
        <w:t>Position 04.010 umfasst den zweifachen matten Anstrich der neuen Wandflächen mit einer für den Untergrund geeigneten Beschichtung. Kleinere Schleifarbeiten an den verspachtelten Fugen und die erforderliche Grundierung sind eingeschlossen. Die Beschichtung ist gleichmäßig ohne erkennbare Ansätze auszuführen. Menge: 29,76 m². Eine besondere Musterfläche ist in dieser Position nicht genannt.</w:t>
      </w:r>
    </w:p>
    <w:p>
      <w:pPr/>
      <w:r>
        <w:t>Position 04.020 umfasst Reinigen, örtliches Ausbessern und zweimaliges Streichen der Bestandswandflächen. Die Mengenzusammenstellung führt hierfür 141,50 m². Das Entfernen größerer loser Putzbereiche wird vor Ausführung mit der Bauleitung abgestimmt und ist nicht Bestandteil dieser Position. Position 04.030 umfasst den Anstrich der bestehenden Decken in 0.11 und 0.12 mit insgesamt 72,00 m².</w:t>
      </w:r>
    </w:p>
    <w:p>
      <w:pPr/>
      <w:r>
        <w:t>Ralf Seeger | Mengenstand aus BW-M-01; Übernahme in Revision 03 am 14.09.2026</w:t>
      </w:r>
    </w:p>
    <w:p>
      <w:r>
        <w:br w:type="page"/>
      </w:r>
    </w:p>
    <w:p>
      <w:pPr>
        <w:pStyle w:val="Heading1"/>
      </w:pPr>
      <w:r>
        <w:t>4 Türen und Unterdecken</w:t>
      </w:r>
    </w:p>
    <w:p>
      <w:pPr/>
      <w:r>
        <w:t>Position 05.010 umfasst Tür T12 als glattes Holztürelement ohne besondere Feuerwiderstands- oder Rauchschutzanforderung. Die lichte Durchgangsbreite beträgt 0,90 m, die Höhe 2,10 m. Beschläge, Zarge, Drückergarnitur und Montage sind enthalten. Ein Türschließer ist nicht vorgesehen. Die Oberfläche wird werkseitig weiß beschichtet. Menge: 1 Stück. Die endgültige Bandseite wird vor Bestellung aus dem Ausführungsplan übernommen.</w:t>
      </w:r>
    </w:p>
    <w:p>
      <w:pPr/>
      <w:r>
        <w:t>Position 06.010 umfasst die abgehängte geschlossene Gipsplattendecke im Flur 0.10, Abhängung 35 cm unter Bestandsdecke, einschließlich Unterkonstruktion, Randanschlüssen und Verspachtelung. Menge: 24,00 m². Öffnungen für die in der Elektroplanung benannten Leuchten sind einzuschneiden; gesonderte Revisionsklappen sind nicht vorgesehen. Bei Bedarf erfolgt der Zugang oberhalb der Decke nach Ausbau der Leuchten.</w:t>
      </w:r>
    </w:p>
    <w:p>
      <w:pPr>
        <w:pStyle w:val="Heading1"/>
      </w:pPr>
      <w:r>
        <w:t>5 Abschlussarbeiten und Abgrenzung</w:t>
      </w:r>
    </w:p>
    <w:p>
      <w:pPr/>
      <w:r>
        <w:t>Position 07.010 umfasst die Reinigung der eigenen Arbeitsbereiche und das Entfernen der von den Ausbauarbeiten verursachten Verschmutzungen an angrenzenden geschützten Flächen. Der vorhandene Hofausgang bleibt erhalten und ist bei Transporten zu schützen. Menge: 1 pauschal. Die laufende Gebäudereinigung und das Reinigen der unberührten Räume im Obergeschoss gehören nicht zum Leistungsumfang.</w:t>
      </w:r>
    </w:p>
    <w:p>
      <w:pPr/>
      <w:r>
        <w:t>Lose Möblierung, Wandabsorber und die Teeküchenmöbel werden durch die Auftraggeberin gesondert beschafft. Elektroanschlüsse und Trinkwasserleitungen werden nicht mit diesem LV vergeben. Der Ausbauunternehmer muss den Zugang zu den betroffenen Anschlussstellen mit der Bauleitung koordinieren. Die Montageplanung für Revisionsstellen ist vor Schließen der Decke vorzulegen, soweit solche Stellen mit den Fachplanern vereinbart werden.</w:t>
      </w:r>
    </w:p>
    <w:p>
      <w:pPr/>
      <w:r>
        <w:t>Zusammengestellt von Ralf Seeger. Revision 03 umfasst drei Seiten. Angebotsversand und technische Freigabe sind im Verteiler noch nicht bestätigt.</w:t>
      </w:r>
    </w:p>
    <w:sectPr w:rsidR="00FC693F" w:rsidRPr="0006063C" w:rsidSect="00034616">
      <w:footerReference w:type="default" r:id="rId9"/>
      <w:pgSz w:w="11906" w:h="16838"/>
      <w:pgMar w:top="1020" w:right="1191" w:bottom="124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BW-LV-AU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9"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line="259" w:lineRule="auto"/>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80" w:line="259"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Leistungsverzeichnis Ausbau Bachwinkel</dc:title>
  <dc:subject>BW-LV-AU / Revision 03 / noch nicht versandt</dc:subject>
  <dc:creator>Ralf Seeger | Planungsbüro Raumkante</dc:creator>
  <cp:keywords/>
  <dc:description/>
  <cp:lastModifiedBy>Ralf Seeger</cp:lastModifiedBy>
  <cp:revision>1</cp:revision>
  <dcterms:created xsi:type="dcterms:W3CDTF">2026-09-14T00:00:00Z</dcterms:created>
  <dcterms:modified xsi:type="dcterms:W3CDTF">2026-09-14T00:00:00Z</dcterms:modified>
  <cp:category/>
  <dc:language>de-DE</dc:language>
</cp:coreProperties>
</file>