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Sachstandsanfrage KDV-Verfahren</w:t>
      </w:r>
    </w:p>
    <w:p>
      <w:r>
        <w:t>Zum Antrag vom 05.06.2026 wird um Sachstand gebeten.</w:t>
      </w:r>
    </w:p>
    <w:p>
      <w:r>
        <w:t>Bitte teilen Sie Eingangsdatum, Aktenzeichen und Weiterleitungsstand an das BAFzA mit.</w:t>
      </w:r>
    </w:p>
    <w:p>
      <w:r>
        <w:t>Die Anfrage dient der Verfahrensklarheit und wahrt die persönliche Gewissensentscheidung des Antragstellers.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