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Verfügung des Amtsgerichts Köln</w:t>
      </w:r>
    </w:p>
    <w:p>
      <w:pPr>
        <w:jc w:val="left"/>
      </w:pPr>
      <w:r>
        <w:t>Amtsgericht Köln, Abteilung 213. Aktenzeichen 213 C 188/26. Köln, den 16.06.2026.</w:t>
      </w:r>
    </w:p>
    <w:p>
      <w:pPr>
        <w:jc w:val="left"/>
      </w:pPr>
      <w:r>
        <w:t>In dem Rechtsstreit Dr. Cornelia Straßburger und Dr. Boris Straßburger-Möhren, Prozessbevollmächtigte Rechtsanwältin Hauck-Brüggemann, gegen Albrecht, van Drosten und Sonnenfeld wegen Räumung und Zahlung wird verfügt:</w:t>
      </w:r>
    </w:p>
    <w:p>
      <w:pPr>
        <w:pStyle w:val="ListNumber"/>
      </w:pPr>
      <w:r>
        <w:t>Die Klage vom 26.05.2026 ist den Beklagten zu 1) bis 3) ausweislich der Zustellungsurkunden am 08.06.2026 (Beklagter zu 1) sowie am 10.06.2026 (Beklagte zu 2 und zu 3) unter der Anschrift Rolandstraße 27a, 50677 Köln, zugestellt worden. Für die Beklagten hat sich bislang niemand bestellt; der Mieterverein Köln und Umgebung e. V. hat mit Schreiben vom 12.06.2026 die Interessenvertretung außergerichtlich angezeigt.</w:t>
      </w:r>
    </w:p>
    <w:p>
      <w:pPr>
        <w:pStyle w:val="ListNumber"/>
      </w:pPr>
      <w:r>
        <w:t>Es wird das schriftliche Vorverfahren angeordnet. Den Beklagten wird aufgegeben, binnen zwei Wochen ab Zustellung die Verteidigungsbereitschaft anzuzeigen und binnen weiterer zwei Wochen auf die Klage zu erwidern.</w:t>
      </w:r>
    </w:p>
    <w:p>
      <w:pPr>
        <w:pStyle w:val="ListNumber"/>
      </w:pPr>
      <w:r>
        <w:t>Termin zur Güteverhandlung und, für den Fall des Scheiterns, zur mündlichen Verhandlung wird bestimmt auf Dienstag, den 22.09.2026, 10:30 Uhr, Saal 142, Luxemburger Straße 101. Das persönliche Erscheinen der Parteien wird angeordnet. Die Klägerseite wird gebeten, die im Klageentwurf angekündigte Anlage K 7 (Fortschreibung der Rückstandsaufstellung) bis zum 04.09.2026 nachzureichen.</w:t>
      </w:r>
    </w:p>
    <w:p>
      <w:pPr>
        <w:pStyle w:val="ListNumber"/>
      </w:pPr>
      <w:r>
        <w:t>Die Parteien werden darauf hingewiesen, dass das Verfahren 205 C 67/26 (Wohnungseigentumssache) bei einer anderen Abteilung geführt wird; eine Mitteilung über den dortigen Verfahrensstand zur Information der Abteilung wird erbeten.</w:t>
      </w:r>
    </w:p>
    <w:p>
      <w:pPr>
        <w:pStyle w:val="ListNumber"/>
      </w:pPr>
      <w:r>
        <w:t>Der Streitwert wird vorläufig auf 23.286,00 Euro festgesetzt (Jahresbetrag der Nettokaltmiete von 21.648,00 Euro zuzüglich Zahlungsantrag von 1.638,00 Euro). Die Festsetzung ergeht vorbehaltlich der endgültigen Entscheidung.</w:t>
      </w:r>
    </w:p>
    <w:p>
      <w:pPr>
        <w:pStyle w:val="ListNumber"/>
      </w:pPr>
      <w:r>
        <w:t>Wiedervorlage mit Fristablauf oder Eingang der Klageerwiderung.</w:t>
      </w:r>
    </w:p>
    <w:p>
      <w:pPr>
        <w:jc w:val="left"/>
      </w:pPr>
      <w:r>
        <w:t>Riedner, Richter am Amtsgericht</w:t>
      </w:r>
    </w:p>
    <w:p>
      <w:pPr>
        <w:jc w:val="left"/>
      </w:pPr>
      <w:r>
        <w:t>Beglaubigt: Justizbeschäftigte Okonkwo, als Urkundsbeamtin der Geschäftsstelle. Hinweis der Geschäftsstelle: Ladungen an die Parteien sind am 17.06.2026 zur Post gegeben worden; das Empfangsbekenntnis der Klägervertreterin liegt noch nicht vor.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Köln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Köln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 213 C 188/26.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