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 zum Therapieslot</w:t>
      </w:r>
    </w:p>
    <w:p>
      <w:pPr>
        <w:jc w:val="left"/>
      </w:pPr>
      <w:r>
        <w:t>Vermerk vom 02.07.2026, 11:05 bis 11:30 Uhr. Gesprächsführung: R. Selzer, Beratungsbüro, im Auftrag der Eheleute Tunc. Gesprächspartnerin: Frau Wilkens, Sekretariat der Spezialambulanz der Universitätsmedizin Mainz; für den medizinischen Teil kurz zugeschaltet: eine Assistenzärztin der Ambulanz, Name nicht vollständig verstanden (Dr. Cakmak oder Dr. Cakman).</w:t>
      </w:r>
    </w:p>
    <w:p>
      <w:pPr>
        <w:pStyle w:val="Heading2"/>
      </w:pPr>
      <w:r>
        <w:rPr>
          <w:rFonts w:ascii="Times New Roman" w:hAnsi="Times New Roman"/>
        </w:rPr>
        <w:t>1 Therapieslot und Aufnahme</w:t>
      </w:r>
    </w:p>
    <w:p>
      <w:pPr>
        <w:jc w:val="left"/>
      </w:pPr>
      <w:r>
        <w:t>Frau Wilkens bestätigt, dass der Behandlungsplatz für Frau Leyla Tunc am 18.07.2026 weiterhin reserviert ist. Die stationäre Aufnahme soll bereits am Vorabend, dem 17.07.2026 gegen 17 Uhr, auf der Station erfolgen, damit die Vorabdiagnostik am Morgen abgeschlossen werden kann. Die Klinik benötigt nach Angabe von Frau Wilkens spätestens am 16.07.2026 eine schriftliche Kostenzusage der Krankenkasse oder eine gerichtliche Entscheidung; ohne eine solche Unterlage werde die Zubereitung des Präparats nicht ausgelöst, weil die Bestellung nach Auslösung nicht mehr rückholbar sei.</w:t>
      </w:r>
    </w:p>
    <w:p>
      <w:pPr>
        <w:pStyle w:val="Heading2"/>
      </w:pPr>
      <w:r>
        <w:rPr>
          <w:rFonts w:ascii="Times New Roman" w:hAnsi="Times New Roman"/>
        </w:rPr>
        <w:t>2 Ergänzende Stellungnahme</w:t>
      </w:r>
    </w:p>
    <w:p>
      <w:pPr>
        <w:jc w:val="left"/>
      </w:pPr>
      <w:r>
        <w:t>Die zugeschaltete Ärztin teilt mit, dass die von der Ambulanz zugesagte ergänzende fachärztliche Stellungnahme zur Prognose ohne Behandlung, zur Ausschöpfung der Standardtherapien und zu den objektiven Verlaufsmarkern in Arbeit ist und am 06.07.2026 unterschrieben werden soll. Sie wird vorab als Scan an das Beratungsbüro und an den Ehemann gesandt. Auf Nachfrage bestätigt sie, dass der letzte dokumentierte Schub Ende Mai 2026 lag und die Gehstrecke bei der letzten Vorstellung unter 200 Metern gemessen wurde.</w:t>
      </w:r>
    </w:p>
    <w:p>
      <w:pPr>
        <w:pStyle w:val="Heading2"/>
      </w:pPr>
      <w:r>
        <w:rPr>
          <w:rFonts w:ascii="Times New Roman" w:hAnsi="Times New Roman"/>
        </w:rPr>
        <w:t>3 Organisatorisches</w:t>
      </w:r>
    </w:p>
    <w:p>
      <w:pPr>
        <w:jc w:val="left"/>
      </w:pPr>
      <w:r>
        <w:t>Frau Tunc soll zur Aufnahme den Medikationsplan, die Versichertenkarte der RheinMain BKK und die Aufklärungsunterlagen mitbringen. Eine Begleitperson kann nach Rücksprache mit der Station im Familienzimmer untergebracht werden; Herr Tunc will dies übernehmen. Die Ambulanz bittet darum, jede Terminverschiebung sofort telefonisch mitzuteilen, da der Behandlungsplatz sonst anderweitig vergeben wird.</w:t>
      </w:r>
    </w:p>
    <w:p>
      <w:pPr>
        <w:jc w:val="left"/>
      </w:pPr>
      <w:r>
        <w:t>Wiedervorlage: 06.07.2026 (Eingang der Stellungnahme prüfen).</w:t>
      </w:r>
    </w:p>
    <w:p>
      <w:pPr>
        <w:jc w:val="left"/>
      </w:pPr>
      <w:r>
        <w:t>Selzer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