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PflegeZeit Saale GmbH · Personalabteilung · Merseburger Straße 144, 06110 Halle (Saale)</w:t>
      </w:r>
    </w:p>
    <w:p>
      <w:pPr>
        <w:jc w:val="left"/>
      </w:pPr>
      <w:r>
        <w:t>Halle (Saale), 14. Juli 2026</w:t>
      </w:r>
    </w:p>
    <w:p>
      <w:pPr>
        <w:jc w:val="left"/>
      </w:pPr>
      <w:r>
        <w:t>Telefonat mit der SaalePension Pensionskasse AG, Firmenkundenservice, Frau Dittrich, 10:20 bis 10:55 Uhr. Gesprächsführung: Saskia Stoll, Personalabteilung. Anlass war die Vorbereitung der Betriebsratssitzung am 20. Juli und die Abstimmung der Zuschusszahlungen mit dem Kassenbestand.</w:t>
      </w:r>
    </w:p>
    <w:p>
      <w:pPr>
        <w:pStyle w:val="Heading2"/>
      </w:pPr>
      <w:r>
        <w:rPr>
          <w:rFonts w:ascii="Times New Roman" w:hAnsi="Times New Roman"/>
        </w:rPr>
        <w:t>1 Angaben der Pensionskasse</w:t>
      </w:r>
    </w:p>
    <w:p>
      <w:pPr>
        <w:jc w:val="left"/>
      </w:pPr>
      <w:r>
        <w:t>Frau Dittrich bestätigte für den Gruppenvertrag aus dem Jahr 2020 derzeit 44 gemeldete Verträge, davon 41 mit laufender Beitragszahlung. In unserer Lohnabrechnung ist der Arbeitgeberzuschuss über die Lohnart 904 dagegen nur für 39 aktive Fälle hinterlegt. Die Differenz konnte im Gespräch nicht aufgeklärt werden; Frau Dittrich sagte eine Bestandsliste mit Vertragsnummern und Zahlbeiträgen bis zum 24. Juli zu.</w:t>
      </w:r>
    </w:p>
    <w:p>
      <w:pPr>
        <w:jc w:val="left"/>
      </w:pPr>
      <w:r>
        <w:t>Für den Vertrag von Frau Prager ist bei der Kasse seit April 2026 kein Beitrag eingegangen. Eine Ruhensmitteilung des Arbeitgebers liegt der Kasse nicht vor; der Vertrag steht dort auf beitragspflichtig mit Rückstand. Frau Dittrich bat um kurzfristige Meldung, ob das Ruhen wegen Elternzeit angezeigt werden soll, weil sonst im August ein Mahnlauf startet.</w:t>
      </w:r>
    </w:p>
    <w:p>
      <w:pPr>
        <w:jc w:val="left"/>
      </w:pPr>
      <w:r>
        <w:t>Zur Frage der Teilzeitkräfte erklärte Frau Dittrich, die Kasse rechne den Zuschuss stets aus dem tatsächlich umgewandelten Betrag; eine anteilige Kürzung nach Wochenstunden erfolge bei der Kasse nicht. Die in einzelnen Abrechnungen sichtbaren gekürzten Zuschüsse stammen demnach aus unserer eigenen Lohnartensteuerung und nicht aus dem Kassensystem.</w:t>
      </w:r>
    </w:p>
    <w:p>
      <w:pPr>
        <w:pStyle w:val="Heading2"/>
      </w:pPr>
      <w:r>
        <w:rPr>
          <w:rFonts w:ascii="Times New Roman" w:hAnsi="Times New Roman"/>
        </w:rPr>
        <w:t>2 Offene Punkte</w:t>
      </w:r>
    </w:p>
    <w:p>
      <w:pPr>
        <w:jc w:val="left"/>
      </w:pPr>
      <w:r>
        <w:t>Die Bestandsliste der Kasse ist nach Eingang mit der Lohnart 904 und der Liste der Saale Leben abzugleichen. Für Frau Prager ist die Elternzeitmeldung zu klären. Die Herkunft der Kürzungslogik bei Teilzeit ist in der Lohnsoftware zu prüfen; der frühere Dienstleister hat die Einrichtung 2020 übernommen, Unterlagen dazu sind in der Personalabteilung bisher nicht auffindbar.</w:t>
      </w:r>
    </w:p>
    <w:p>
      <w:pPr>
        <w:jc w:val="left"/>
      </w:pPr>
      <w:r>
        <w:t>Saskia Stoll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PflegeZeit Saale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PflegeZeit Saale GmbH</w:t>
    </w:r>
  </w:p>
  <w:p>
    <w:pPr>
      <w:jc w:val="left"/>
      <w:pBdr>
        <w:bottom w:val="single" w:sz="6" w:space="2" w:color="2C5230"/>
      </w:pBdr>
    </w:pPr>
    <w:r>
      <w:rPr>
        <w:rFonts w:ascii="Times New Roman" w:hAnsi="Times New Roman"/>
        <w:color w:val="6B6B66"/>
        <w:sz w:val="16"/>
      </w:rPr>
      <w:t>06110 Halle (Saale)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