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Finanzamt Cottbus</w:t>
      </w:r>
    </w:p>
    <w:p>
      <w:pPr>
        <w:jc w:val="left"/>
      </w:pPr>
      <w:r>
        <w:t>Reinkeller Sanierungsrecht, Berlin — Mandats-Az: Pellbach 2026/14-StaRUG</w:t>
      </w:r>
    </w:p>
    <w:p>
      <w:pPr>
        <w:jc w:val="left"/>
      </w:pPr>
      <w:r>
        <w:t>Datum: 16.07.2026, 14:20 bis 14:50 Uhr. Gesprächsführung: StB Dr. Lena Vogelweid. Gesprächspartner: Herr Domascyk, Finanzamt Cottbus, Sachgebiet Körperschaften, Steuernummer 062/110/47728, Vorgang StaRUG 2026/14. Herr Domascyk rief auf die Sachstandsanfrage vom 13.07.2026 zurück.</w:t>
      </w:r>
    </w:p>
    <w:p>
      <w:pPr>
        <w:pStyle w:val="Heading2"/>
      </w:pPr>
      <w:r>
        <w:rPr>
          <w:rFonts w:ascii="Times New Roman" w:hAnsi="Times New Roman"/>
        </w:rPr>
        <w:t>1 Stand der verbindlichen Auskunft</w:t>
      </w:r>
    </w:p>
    <w:p>
      <w:pPr>
        <w:jc w:val="left"/>
      </w:pPr>
      <w:r>
        <w:t>Herr Domascyk teilt mit, dass der Entwurf der verbindlichen Auskunft zum Antrag vom 27.05.2026 fertiggestellt ist und sich in der Zeichnung beim Sachgebietsleiter befindet. Mit dem Versand sei in Kalenderwoche 30 zu rechnen. Inhaltliche Aussagen zum Ergebnis machte er am Telefon nicht; er verwies auf die schriftliche Ausfertigung.</w:t>
      </w:r>
    </w:p>
    <w:p>
      <w:pPr>
        <w:pStyle w:val="Heading2"/>
      </w:pPr>
      <w:r>
        <w:rPr>
          <w:rFonts w:ascii="Times New Roman" w:hAnsi="Times New Roman"/>
        </w:rPr>
        <w:t>2 Nachgereichte Unterlagen</w:t>
      </w:r>
    </w:p>
    <w:p>
      <w:pPr>
        <w:jc w:val="left"/>
      </w:pPr>
      <w:r>
        <w:t>Bei der Ersteinreichung am 27.05.2026 fehlten nach Aktenlage des Finanzamts die Seiten 3 und 4 der Liquiditätsplanung (Anlage 12); die Nachreichung vom 18.06.2026 sei vollständig eingegangen und dem Vorgang zugeordnet. Das Werthaltigkeitsgutachten Buchner &amp; Voltz mit Stand 15.05.2026 liege in der Fassung mit Anlagenband vor. Weitere Unterlagen würden derzeit nicht benötigt.</w:t>
      </w:r>
    </w:p>
    <w:p>
      <w:pPr>
        <w:pStyle w:val="Heading2"/>
      </w:pPr>
      <w:r>
        <w:rPr>
          <w:rFonts w:ascii="Times New Roman" w:hAnsi="Times New Roman"/>
        </w:rPr>
        <w:t>3 Gebühr</w:t>
      </w:r>
    </w:p>
    <w:p>
      <w:pPr>
        <w:jc w:val="left"/>
      </w:pPr>
      <w:r>
        <w:t>Der Gebührenbescheid für die verbindliche Auskunft ergeht nach Auskunft von Herrn Domascyk gesondert und zeitnah nach Versand der Auskunft; die Gebühr sei aus dem Gegenstandswert errechnet und im Antragskonto bereits vorgemerkt. Zahlungsziel voraussichtlich ein Monat ab Bekanntgabe. Zuständig für Fragen zur Gebühr sei die Finanzkasse, Durchwahl 0355 4991-0.</w:t>
      </w:r>
    </w:p>
    <w:p>
      <w:pPr>
        <w:pStyle w:val="Heading2"/>
      </w:pPr>
      <w:r>
        <w:rPr>
          <w:rFonts w:ascii="Times New Roman" w:hAnsi="Times New Roman"/>
        </w:rPr>
        <w:t>4 Vorauszahlungen und Erklärungen</w:t>
      </w:r>
    </w:p>
    <w:p>
      <w:pPr>
        <w:jc w:val="left"/>
      </w:pPr>
      <w:r>
        <w:t>Für die Körperschaftsteuer-Vorauszahlungen 2026 werde das Finanzamt nach Versand der Auskunft von Amts wegen prüfen, ob der Vorauszahlungsbescheid anzupassen ist; ein gesonderter Antrag der Schuldnerin beschleunige die Bearbeitung. Die Abgabefrist für die Erklärungen 2025 bleibe unberührt. Das Gewerbesteueramt der Stadt Cottbus (Az. 51-StA-14-2026) erhalte einen Abdruck der Auskunft unmittelbar vom Finanzamt.</w:t>
      </w:r>
    </w:p>
    <w:p>
      <w:pPr>
        <w:pStyle w:val="Heading2"/>
      </w:pPr>
      <w:r>
        <w:rPr>
          <w:rFonts w:ascii="Times New Roman" w:hAnsi="Times New Roman"/>
        </w:rPr>
        <w:t>5 Veranlassung</w:t>
      </w:r>
    </w:p>
    <w:p>
      <w:pPr>
        <w:jc w:val="left"/>
      </w:pPr>
      <w:r>
        <w:t>Eingang der Auskunft überwachen (Fristenbuch Kalenderwoche 30). Antrag auf Anpassung der Vorauszahlungen vorbereiten. Mandantin über den Stand mit kurzer Nachricht informieren.</w:t>
      </w:r>
    </w:p>
    <w:p>
      <w:pPr>
        <w:jc w:val="left"/>
      </w:pPr>
      <w:r>
        <w:t>Dr. Vogelweid, Steuerberaterin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 Finanzamt Cottbus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Telefonvermerk Finanzamt Cottbus</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