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Dr. Enno Falkenberg, Rechtsanwalt und Fachanwalt für Strafrecht, Essen</w:t>
      </w:r>
    </w:p>
    <w:p>
      <w:pPr>
        <w:jc w:val="left"/>
      </w:pPr>
      <w:r>
        <w:t>Strafsache Murat Candan, Landgericht Duisburg 7 KLs 220 Js 1180/25</w:t>
      </w:r>
    </w:p>
    <w:p>
      <w:pPr>
        <w:jc w:val="left"/>
      </w:pPr>
      <w:r>
        <w:t>Telefonat am 20. Juni 2026, 14:35 bis 14:58 Uhr, mit Herrn Karol Nowak, erreicht über die Disposition der Taxi-Ruf Duisburg. Gespräch geführt von RA Dr. Falkenberg, Vermerk diktiert am selben Tag.</w:t>
      </w:r>
    </w:p>
    <w:p>
      <w:pPr>
        <w:pStyle w:val="Heading2"/>
      </w:pPr>
      <w:r>
        <w:rPr>
          <w:rFonts w:ascii="Times New Roman" w:hAnsi="Times New Roman"/>
        </w:rPr>
        <w:t>1 Anlass</w:t>
      </w:r>
    </w:p>
    <w:p>
      <w:pPr>
        <w:jc w:val="left"/>
      </w:pPr>
      <w:r>
        <w:t>Nachfrage zum Stand der Erreichbarkeit des Zeugen und zu den Unterlagen der Tatnacht vom 3. März 2025.</w:t>
      </w:r>
    </w:p>
    <w:p>
      <w:pPr>
        <w:pStyle w:val="Heading2"/>
      </w:pPr>
      <w:r>
        <w:rPr>
          <w:rFonts w:ascii="Times New Roman" w:hAnsi="Times New Roman"/>
        </w:rPr>
        <w:t>2 Angaben des Herrn Nowak</w:t>
      </w:r>
    </w:p>
    <w:p>
      <w:pPr>
        <w:jc w:val="left"/>
      </w:pPr>
      <w:r>
        <w:t>Herr Nowak erklärte, er sei bis heute weder vom Landgericht noch von einer anderen Stelle geladen oder angehört worden. Niemand vom Gericht habe je mit ihm gesprochen. Er fahre weiterhin die Nachtschicht, mittwochs habe er frei.</w:t>
      </w:r>
    </w:p>
    <w:p>
      <w:pPr>
        <w:jc w:val="left"/>
      </w:pPr>
      <w:r>
        <w:t>Zur Fahrt vom 3. März 2025 gab er an, er erinnere sich an den Abend, weil die Disposition ihm den Fahrgast als wartenden Stammkunden angekündigt habe und weil er den Chatverlauf noch auf dem Diensthandy habe. Den Fahrgast kenne er von etwa zehn bis fünfzehn früheren Fahrten, meist vom Hauptbahnhof nach Hochfeld. Er habe ihn im Februar 2026 auf einem Foto, das ihm die Verteidigung vorgelegt habe, wiedererkannt. Auf Nachfrage räumte er ein, dass er sich an das Ziel der Fahrt ohne den Chat vermutlich nicht mehr im Einzelnen erinnern würde; mit dem Chat und dem Fahrtenprotokoll sei er sich aber sicher.</w:t>
      </w:r>
    </w:p>
    <w:p>
      <w:pPr>
        <w:jc w:val="left"/>
      </w:pPr>
      <w:r>
        <w:t>Herr Nowak teilte weiter mit, das Abrechnungssystem der Taxi-Ruf Duisburg speichere die Touren mit Beginn- und Endzeit; das Protokoll für März 2025 habe die Disposition der Kanzlei bereits im Mai übersandt. Ein GPS-Verlauf des Fahrzeugs werde nach seiner Kenntnis nach 12 Monaten gelöscht; ob der Verlauf für März 2025 noch vorhanden sei, wisse er nicht. Er habe im Juli zwei Wochen Urlaub in Polen, vom 13. bis 27. Juli, sei danach wieder verfügbar.</w:t>
      </w:r>
    </w:p>
    <w:p>
      <w:pPr>
        <w:pStyle w:val="Heading2"/>
      </w:pPr>
      <w:r>
        <w:rPr>
          <w:rFonts w:ascii="Times New Roman" w:hAnsi="Times New Roman"/>
        </w:rPr>
        <w:t>3 Weiteres Vorgehen</w:t>
      </w:r>
    </w:p>
    <w:p>
      <w:pPr>
        <w:jc w:val="left"/>
      </w:pPr>
      <w:r>
        <w:t>Herr Nowak wurde gebeten, das Diensthandy nicht zu wechseln und den Chatverlauf nicht zu löschen. Die Disposition soll schriftlich gefragt werden, ob der GPS-Verlauf für den 3. März 2025 noch gesichert ist. Wiedervorlage: 4. Juli 2026.</w:t>
      </w:r>
    </w:p>
    <w:p>
      <w:pPr>
        <w:jc w:val="left"/>
      </w:pPr>
      <w:r>
        <w:t>gez. Dr. Falkenberg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Duisburg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Duisburg</w:t>
    </w:r>
  </w:p>
  <w:p>
    <w:pPr>
      <w:jc w:val="left"/>
      <w:pBdr>
        <w:bottom w:val="single" w:sz="6" w:space="2" w:color="3B3F45"/>
      </w:pBdr>
    </w:pPr>
    <w:r>
      <w:rPr>
        <w:rFonts w:ascii="Times New Roman" w:hAnsi="Times New Roman"/>
        <w:color w:val="6B6B66"/>
        <w:sz w:val="16"/>
      </w:rPr>
      <w:t>Landgericht Duisburg 7 KLs 220 Js 1180/25 · 220 Js 1180/25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