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Landkreis Auenfeld, Fachdienst Straßen und Brücken, zur Akte S 18-441/26.</w:t>
      </w:r>
    </w:p>
    <w:p>
      <w:pPr>
        <w:jc w:val="left"/>
      </w:pPr>
      <w:r>
        <w:t>Aufgenommen von Selma Kern am 2. Juli 2026, 09:20 Uhr bis 09:41 Uhr. Gesprächspartner: Herr Rüdiger Eßwein, Betriebsleiter der Auenfelder Mühle GmbH, Rückrufnummer 05681 4437-12.</w:t>
      </w:r>
    </w:p>
    <w:p>
      <w:pPr>
        <w:pStyle w:val="Heading2"/>
      </w:pPr>
      <w:r>
        <w:rPr>
          <w:rFonts w:ascii="Times New Roman" w:hAnsi="Times New Roman"/>
        </w:rPr>
        <w:t>1 Gesprächsinhalt</w:t>
      </w:r>
    </w:p>
    <w:p>
      <w:pPr>
        <w:jc w:val="left"/>
      </w:pPr>
      <w:r>
        <w:t>Herr Eßwein rief wegen des Silostands an. Er erklärte, die Angabe im Schreiben vom 30. Juni sei inzwischen überholt, weil ein Großkunde eine Bestellung vorgezogen habe. Der Silostand reiche jetzt nur noch bis zum 3. Juli, ungefähr 08:00 Uhr, nicht bis 12:00 Uhr. Zwei Lieferanten hätten für den 3. Juli zugesagt, einer davon mit einem Fahrzeug von 26 Tonnen, der andere mit einem Sattelzug von 40 Tonnen und 3,86 Metern Aufbauhöhe. Die Unterführung Niederwiese scheide für den Sattelzug weiterhin aus.</w:t>
      </w:r>
    </w:p>
    <w:p>
      <w:pPr>
        <w:jc w:val="left"/>
      </w:pPr>
      <w:r>
        <w:t>Herr Eßwein fragte, ob der Wirtschaftsweg Nord für die beiden Fahrten am 3. Juli freigegeben werden könne. Auf den Hinweis, dass die Fahrbahnbreite dort an zwei Stellen unter 3,2 Metern liegt, erklärte er, der Fahrer des 26-Tonners kenne den Weg von früheren Erntefahrten und halte die Durchfahrt bei trockener Witterung für machbar; für den Sattelzug könne er das nicht beurteilen. Eine Teilentladung auf kleinere Fahrzeuge am Ortsrand sei organisatorisch möglich, koste nach seiner Schätzung aber rund 1400 Euro je Lieferung und brauche einen Vorlauf von einem Tag.</w:t>
      </w:r>
    </w:p>
    <w:p>
      <w:pPr>
        <w:pStyle w:val="Heading2"/>
      </w:pPr>
      <w:r>
        <w:rPr>
          <w:rFonts w:ascii="Times New Roman" w:hAnsi="Times New Roman"/>
        </w:rPr>
        <w:t>2 Weiteres Vorgehen</w:t>
      </w:r>
    </w:p>
    <w:p>
      <w:pPr>
        <w:jc w:val="left"/>
      </w:pPr>
      <w:r>
        <w:t>Zusage der Unterzeichnerin: Rückmeldung des Fachdienstes bis 2. Juli, 16:00 Uhr, ob und unter welchen Auflagen der Wirtschaftsweg Nord am 3. Juli genutzt werden kann. Herr Eßwein übersendet vorab die Kennzeichen und Achslasten der beiden Fahrzeuge per E-Mail. Herr Mäßner ist über den Anruf unterrichtet; die statische Nachrechnung wird nach Auskunft von Frau Maß weiterhin frühestens am 3. Juli erwartet.</w:t>
      </w:r>
    </w:p>
    <w:p>
      <w:pPr>
        <w:jc w:val="left"/>
      </w:pPr>
      <w:r>
        <w:t>Kern, Verwaltungsangestellte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Auenfeld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Auenfeld</w:t>
    </w:r>
  </w:p>
  <w:p>
    <w:pPr>
      <w:jc w:val="left"/>
      <w:pBdr>
        <w:bottom w:val="single" w:sz="6" w:space="2" w:color="3B3F45"/>
      </w:pBdr>
    </w:pPr>
    <w:r>
      <w:rPr>
        <w:rFonts w:ascii="Times New Roman" w:hAnsi="Times New Roman"/>
        <w:color w:val="6B6B66"/>
        <w:sz w:val="16"/>
      </w:rPr>
      <w:t>Fachdienst Straßen und Brücken, zur Akte S 18-441/26.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