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Sattler &amp; Riedl Rechtsanwälte</w:t>
      </w:r>
    </w:p>
    <w:p>
      <w:pPr>
        <w:jc w:val="left"/>
      </w:pPr>
      <w:r>
        <w:t>Kontorhof 8, 80339 München | verwaltung@sattler-riedl.example</w:t>
      </w:r>
    </w:p>
    <w:p>
      <w:pPr>
        <w:jc w:val="left"/>
      </w:pPr>
      <w:r>
        <w:t>Bearbeiter: Dr. Lorenz Sattler | Unser Zeichen PK-26-071</w:t>
      </w:r>
    </w:p>
    <w:p>
      <w:pPr>
        <w:jc w:val="left"/>
      </w:pPr>
      <w:r>
        <w:t>An das Amtsgericht München, Insolvenzgericht</w:t>
      </w:r>
    </w:p>
    <w:p>
      <w:pPr>
        <w:jc w:val="left"/>
      </w:pPr>
      <w:r>
        <w:t>Infanteriestraße 5, 80797 München</w:t>
      </w:r>
    </w:p>
    <w:p>
      <w:pPr>
        <w:jc w:val="left"/>
      </w:pPr>
      <w:r>
        <w:t>München, 28.08.2026</w:t>
      </w:r>
    </w:p>
    <w:p>
      <w:pPr>
        <w:pStyle w:val="Heading1"/>
      </w:pPr>
      <w:r>
        <w:rPr>
          <w:rFonts w:ascii="Times New Roman" w:hAnsi="Times New Roman"/>
        </w:rPr>
        <w:t>Bericht über den Geschäftsbetrieb der Pistazienknopf Brezelmanufaktur GmbH</w:t>
      </w:r>
    </w:p>
    <w:p>
      <w:pPr>
        <w:jc w:val="left"/>
      </w:pPr>
      <w:r>
        <w:t>In dem Verfahren 1500 IN 862/26 berichte ich über die Fortführung bis zum heutigen Tag. Die Backstube verkauft handgeformte Brezeln mit Pistazienfüllung sowie klassische Laugenware. Zwei Bäcker, zwei Verkäufer und ein Teilzeitfahrer sind beschäftigt. Geschäftsführer Emilian Rödel arbeitet weiterhin morgens in der Produktion.</w:t>
      </w:r>
    </w:p>
    <w:p>
      <w:pPr>
        <w:pStyle w:val="Heading2"/>
      </w:pPr>
      <w:r>
        <w:rPr>
          <w:rFonts w:ascii="Times New Roman" w:hAnsi="Times New Roman"/>
        </w:rPr>
        <w:t>1. Betriebsablauf</w:t>
      </w:r>
    </w:p>
    <w:p>
      <w:pPr>
        <w:jc w:val="left"/>
      </w:pPr>
      <w:r>
        <w:t>Die Backstube am Backhof 12 blieb seit Eröffnung geöffnet. Gebacken wird ab 04:30 Uhr, der Laden öffnet um 07:00 Uhr. Seit Juli werden Zutaten nur gegen sofortige Zahlung eingekauft. Die Bestellseite ermöglicht weiterhin die Reservierung von Frühstückskisten; eine Lastschriftfunktion wurde nicht eingerichtet.</w:t>
      </w:r>
    </w:p>
    <w:p>
      <w:pPr>
        <w:jc w:val="left"/>
      </w:pPr>
      <w:r>
        <w:t>Der Umsatzrückgang im Frühjahr und zwei ausgefallene Firmenbestellungen haben die vorhandene Reserve aufgezehrt. Rödel übergab mir die Buchhaltung am 02.07.2026 in einem Karton und als Export aus dem Bankportal. Die Ladenhandkasse ist inzwischen aufgenommen. Der übergebene Kontoexport endet am 30.06.2026 mit 2365,00 EUR und gehört zum Betriebskonto 008421 der Schuldnerin vor Eröffnung.</w:t>
      </w:r>
    </w:p>
    <w:p>
      <w:pPr>
        <w:pStyle w:val="Heading2"/>
      </w:pPr>
      <w:r>
        <w:rPr>
          <w:rFonts w:ascii="Times New Roman" w:hAnsi="Times New Roman"/>
        </w:rPr>
        <w:t>2. Räume und Korrespondenz</w:t>
      </w:r>
    </w:p>
    <w:p>
      <w:pPr>
        <w:jc w:val="left"/>
      </w:pPr>
      <w:r>
        <w:t>Der Mietvertrag über die Backstube wurde nicht gekündigt. Die Räume werden auch im Juli und August unverändert für die Masse genutzt. Die Augustmiete wurde heute gezahlt. Die Mietbuchhaltung hat angekündigt, einen Kontoauszug nachzureichen; die Juli-Sollstellung ist dort noch offen.</w:t>
      </w:r>
    </w:p>
    <w:p>
      <w:pPr>
        <w:jc w:val="left"/>
      </w:pPr>
      <w:r>
        <w:t>Im selben Hof, unter Hausnummer 14, betreibt die Brezelgarten Café GmbH ein eigenständiges Café. Es bestehen weder eine Beteiligung noch ein gemeinsamer Einkauf. Beide Unternehmen benutzen denselben Hofzugang. Monteure melden sich gelegentlich zunächst am falschen Tresen.</w:t>
      </w:r>
    </w:p>
    <w:p>
      <w:pPr>
        <w:pStyle w:val="Heading2"/>
      </w:pPr>
      <w:r>
        <w:rPr>
          <w:rFonts w:ascii="Times New Roman" w:hAnsi="Times New Roman"/>
        </w:rPr>
        <w:t>3. Stand der Unterlagen</w:t>
      </w:r>
    </w:p>
    <w:p>
      <w:pPr>
        <w:jc w:val="left"/>
      </w:pPr>
      <w:r>
        <w:t>Die bislang eingegangenen fünf Anmeldungen wurden als Eingänge erfasst. Die in den Schreiben genannten Anlagen liegen dieser Ablage bei. Zu einzelnen Lieferungen finden sich außerdem Bankbuchungen und E-Mails aus dem Postfach des Geschäftsführers. Die gerichtliche Prüfung hat noch nicht stattgefunden.</w:t>
      </w:r>
    </w:p>
    <w:p>
      <w:pPr>
        <w:jc w:val="left"/>
      </w:pPr>
      <w:r>
        <w:t>Mit freundlichen Grüßen</w:t>
      </w:r>
    </w:p>
    <w:p>
      <w:pPr>
        <w:jc w:val="left"/>
      </w:pPr>
      <w:r>
        <w:t>Dr. Lorenz Sattler, Rechtsanwalt und Insolvenzverwalter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Sattler &amp; Riedl Rechtsanwälte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2"/>
      </w:rPr>
      <w:t>SATTLER &amp; RIEDL RECHTSANWÄLTE</w:t>
    </w:r>
  </w:p>
  <w:p>
    <w:pPr>
      <w:jc w:val="left"/>
      <w:pBdr>
        <w:bottom w:val="single" w:sz="8" w:space="2" w:color="3B3F45"/>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