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Märkischer Objektservice GmbH | Herrn Faber und Frau Rabe</w:t>
      </w:r>
    </w:p>
    <w:p>
      <w:r>
        <w:t>Berlin, 16.09.2026 | GVB-REI-2026-017</w:t>
      </w:r>
    </w:p>
    <w:p>
      <w:pPr>
        <w:pStyle w:val="Title"/>
      </w:pPr>
      <w:r>
        <w:t>Gesprächsprotokoll Los 1, 10:30 bis 11:25 Uhr</w:t>
      </w:r>
    </w:p>
    <w:p>
      <w:pPr>
        <w:widowControl/>
      </w:pPr>
      <w:r>
        <w:t>Sehr geehrter Herr Faber, sehr geehrte Frau Rabe,</w:t>
      </w:r>
    </w:p>
    <w:p>
      <w:pPr>
        <w:widowControl/>
      </w:pPr>
      <w:r>
        <w:t>anliegend halten wir das heutige Gespräch fest. Für die GVB nahmen Malte Winter und Silke Mertens teil. Für Ihr Unternehmen waren Nils Faber und Nora Rabe zugeschaltet. Die Verbindung war von 10:48 bis 10:51 Uhr unterbrochen; die unmittelbar zuvor gestellte Frage zur Vertretung wurde anschließend nochmals vollständig wiederholt. Es wurden keine Preise oder Konzepte anderer Unternehmen genannt.</w:t>
      </w:r>
    </w:p>
    <w:p>
      <w:pPr>
        <w:pStyle w:val="Heading1"/>
      </w:pPr>
      <w:r>
        <w:t>1. Vertretung und Zugangszeiten</w:t>
      </w:r>
    </w:p>
    <w:p>
      <w:pPr>
        <w:widowControl/>
      </w:pPr>
      <w:r>
        <w:t>Frau Mertens fragte, ob die im Erstangebot beschriebenen Reserven auch planmäßigen Urlaub abdecken. Herr Faber bestätigte dies. Zwei unterschiedliche Ersatzpersonen sollen je Schicht verfügbar sein. Frau Rabe ergänzte, dass der gesamte Pool sechs Personen umfasse, die nicht alle gleichzeitig in diesem Auftrag tätig seien. Die namentliche Einsatzplanung werde erst vor Betriebsbeginn verbindlich erstellt. Die GVB bat um eindeutige Darstellung im abschließenden Angebot; eine bestimmte Punktzahl wurde nicht zugesagt.</w:t>
      </w:r>
    </w:p>
    <w:p>
      <w:pPr>
        <w:widowControl/>
      </w:pPr>
      <w:r>
        <w:t>Das Fenster von 00:45 bis 02:15 Uhr bleibt unverändert. Frau Rabe erläuterte den Weg vom Materialraum zum Bahnsteig und die vorgesehene Vorbereitung vor Freigabe. Herr Winter bestätigte keine zusätzliche Arbeitszeit auf gesperrten Flächen. Die veröffentlichten Vorgaben werden nicht geändert. Die Teams sollen die Fläche innerhalb des Fensters auch wieder räumen.</w:t>
      </w:r>
    </w:p>
    <w:p>
      <w:pPr>
        <w:pStyle w:val="Heading1"/>
      </w:pPr>
      <w:r>
        <w:t>2. Preis und Geräte</w:t>
      </w:r>
    </w:p>
    <w:p>
      <w:pPr>
        <w:widowControl/>
      </w:pPr>
      <w:r>
        <w:t>Herr Faber erklärte, dass sein Unternehmen noch über einen Rahmenvertrag für die Gerätemiete verhandle. Eine mögliche Einsparung werde ausschließlich im abschließenden Preisblatt ausgewiesen. Weder die Stundenzahl noch die Vertretung sollten dafür reduziert werden. Die GVB verlangte keinen bestimmten Nachlass und nannte keinen Zielpreis. Frau Rabe fragte, ob eine neue Mietbestätigung dem Schlussangebot beizufügen sei. Herr Winter verwies auf die veröffentlichten Angebotsunterlagen; eine zusätzliche Eignungsanforderung wurde nicht eingeführt.</w:t>
      </w:r>
    </w:p>
    <w:p>
      <w:pPr>
        <w:pStyle w:val="Heading1"/>
      </w:pPr>
      <w:r>
        <w:t>3. Materialraum und Fortsetzung</w:t>
      </w:r>
    </w:p>
    <w:p>
      <w:pPr>
        <w:widowControl/>
      </w:pPr>
      <w:r>
        <w:t>Die gewünschte Freigabe des Geräteraums am 16.11.2026 kann Frau Mertens heute nicht bestätigen. Herr Faber hält eine Zwischenlagerung auf dem eigenen Betriebshof für möglich. Er erklärt, dass die Vergabeunterlagen durch die offene Raumfrage nicht unter Vorbehalt angenommen werden sollen. Die abschließende Aufforderung geht gesondert über das Portal zu; maßgeblich ist deren Frist.</w:t>
      </w:r>
    </w:p>
    <w:p>
      <w:pPr>
        <w:keepNext/>
        <w:widowControl/>
      </w:pPr>
      <w:r>
        <w:t>Versand dieses Protokolls am 16.09.2026 um 13:42 Uhr. Frau Rabe antwortete am 17.09.2026 um 08:23 Uhr: „So besprochen; unsere Angabe mit den sechs Personen bitte nicht als sechs Vollzeitstellen im GVB-Auftrag verstehen.“ Diese Ergänzung ist oben berücksichtigt. Weitere Änderungen wurden bis zum 18.09.2026 nicht mitgeteilt.</w:t>
      </w:r>
    </w:p>
    <w:p>
      <w:pPr>
        <w:keepLines/>
      </w:pPr>
      <w:r>
        <w:t>Malte Winter</w:t>
        <w:br/>
        <w:t>Zentraler Einkauf | Gesprächsakte Los 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39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Gesprächsprotokoll Los 1, 10:30 bis 11:25 Uhr</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